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D7302" w:rsidRPr="006A665E" w:rsidRDefault="003D7302" w:rsidP="00C24804">
      <w:pPr>
        <w:pStyle w:val="BodyText"/>
        <w:spacing w:line="360" w:lineRule="auto"/>
        <w:jc w:val="both"/>
        <w:rPr>
          <w:rFonts w:ascii="Calibri" w:hAnsi="Calibri" w:cs="Calibri"/>
          <w:sz w:val="22"/>
          <w:szCs w:val="22"/>
        </w:rPr>
      </w:pP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Imagem 1" o:spid="_x0000_s1027" type="#_x0000_t75" alt="NATS_HC final" style="position:absolute;left:0;text-align:left;margin-left:0;margin-top:0;width:228.75pt;height:81.75pt;z-index:251658240;visibility:visible;mso-position-horizontal:left;mso-position-vertical:top">
            <v:imagedata r:id="rId7" o:title=""/>
            <w10:wrap type="square"/>
          </v:shape>
        </w:pict>
      </w:r>
      <w:r>
        <w:rPr>
          <w:rFonts w:ascii="Calibri" w:hAnsi="Calibri" w:cs="Calibri"/>
          <w:sz w:val="22"/>
          <w:szCs w:val="22"/>
        </w:rPr>
        <w:br w:type="textWrapping" w:clear="all"/>
      </w:r>
    </w:p>
    <w:p w:rsidR="003D7302" w:rsidRPr="003A3761" w:rsidRDefault="003D7302" w:rsidP="00C24804">
      <w:pPr>
        <w:pStyle w:val="BodyText"/>
        <w:spacing w:line="360" w:lineRule="auto"/>
        <w:ind w:left="6372"/>
        <w:jc w:val="both"/>
        <w:rPr>
          <w:rFonts w:cs="Arial"/>
          <w:szCs w:val="24"/>
        </w:rPr>
      </w:pPr>
    </w:p>
    <w:p w:rsidR="003D7302" w:rsidRPr="003A3761" w:rsidRDefault="003D7302" w:rsidP="00C24804">
      <w:pPr>
        <w:pStyle w:val="BodyText"/>
        <w:spacing w:line="360" w:lineRule="auto"/>
        <w:ind w:left="6372"/>
        <w:jc w:val="both"/>
        <w:rPr>
          <w:rFonts w:cs="Arial"/>
          <w:szCs w:val="24"/>
        </w:rPr>
      </w:pPr>
      <w:r w:rsidRPr="003A3761">
        <w:rPr>
          <w:rFonts w:cs="Arial"/>
          <w:szCs w:val="24"/>
        </w:rPr>
        <w:t xml:space="preserve">Data: </w:t>
      </w:r>
      <w:r>
        <w:rPr>
          <w:rFonts w:cs="Arial"/>
          <w:szCs w:val="24"/>
        </w:rPr>
        <w:t>11</w:t>
      </w:r>
      <w:r w:rsidRPr="003A3761">
        <w:rPr>
          <w:rFonts w:cs="Arial"/>
          <w:szCs w:val="24"/>
        </w:rPr>
        <w:t>/1</w:t>
      </w:r>
      <w:r>
        <w:rPr>
          <w:rFonts w:cs="Arial"/>
          <w:szCs w:val="24"/>
        </w:rPr>
        <w:t>1/2013</w:t>
      </w:r>
    </w:p>
    <w:tbl>
      <w:tblPr>
        <w:tblpPr w:leftFromText="141" w:rightFromText="141" w:vertAnchor="text" w:horzAnchor="margin" w:tblpXSpec="right" w:tblpY="251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1817"/>
        <w:gridCol w:w="673"/>
      </w:tblGrid>
      <w:tr w:rsidR="003D7302" w:rsidRPr="003A3761" w:rsidTr="00AC0FE0">
        <w:tc>
          <w:tcPr>
            <w:tcW w:w="1701" w:type="dxa"/>
          </w:tcPr>
          <w:p w:rsidR="003D7302" w:rsidRPr="003A3761" w:rsidRDefault="003D7302" w:rsidP="00C24804">
            <w:pPr>
              <w:pStyle w:val="BodyText"/>
              <w:spacing w:line="360" w:lineRule="auto"/>
              <w:jc w:val="both"/>
              <w:rPr>
                <w:rFonts w:cs="Arial"/>
                <w:szCs w:val="24"/>
              </w:rPr>
            </w:pPr>
            <w:r w:rsidRPr="003A3761">
              <w:rPr>
                <w:rFonts w:cs="Arial"/>
                <w:szCs w:val="24"/>
              </w:rPr>
              <w:t>Medicamento</w:t>
            </w:r>
          </w:p>
        </w:tc>
        <w:tc>
          <w:tcPr>
            <w:tcW w:w="673" w:type="dxa"/>
          </w:tcPr>
          <w:p w:rsidR="003D7302" w:rsidRPr="003A3761" w:rsidRDefault="003D7302" w:rsidP="00C24804">
            <w:pPr>
              <w:pStyle w:val="BodyText"/>
              <w:spacing w:line="360" w:lineRule="auto"/>
              <w:jc w:val="both"/>
              <w:rPr>
                <w:rFonts w:cs="Arial"/>
                <w:szCs w:val="24"/>
              </w:rPr>
            </w:pPr>
            <w:r w:rsidRPr="003A3761">
              <w:rPr>
                <w:rFonts w:cs="Arial"/>
                <w:szCs w:val="24"/>
              </w:rPr>
              <w:t>X</w:t>
            </w:r>
          </w:p>
        </w:tc>
      </w:tr>
      <w:tr w:rsidR="003D7302" w:rsidRPr="003A3761" w:rsidTr="00AC0FE0">
        <w:tc>
          <w:tcPr>
            <w:tcW w:w="1701" w:type="dxa"/>
          </w:tcPr>
          <w:p w:rsidR="003D7302" w:rsidRPr="003A3761" w:rsidRDefault="003D7302" w:rsidP="00C24804">
            <w:pPr>
              <w:pStyle w:val="BodyText"/>
              <w:spacing w:line="360" w:lineRule="auto"/>
              <w:jc w:val="both"/>
              <w:rPr>
                <w:rFonts w:cs="Arial"/>
                <w:szCs w:val="24"/>
              </w:rPr>
            </w:pPr>
            <w:r w:rsidRPr="003A3761">
              <w:rPr>
                <w:rFonts w:cs="Arial"/>
                <w:szCs w:val="24"/>
              </w:rPr>
              <w:t>Material</w:t>
            </w:r>
          </w:p>
        </w:tc>
        <w:tc>
          <w:tcPr>
            <w:tcW w:w="673" w:type="dxa"/>
          </w:tcPr>
          <w:p w:rsidR="003D7302" w:rsidRPr="003A3761" w:rsidRDefault="003D7302" w:rsidP="00C24804">
            <w:pPr>
              <w:pStyle w:val="BodyText"/>
              <w:spacing w:line="360" w:lineRule="auto"/>
              <w:jc w:val="both"/>
              <w:rPr>
                <w:rFonts w:cs="Arial"/>
                <w:szCs w:val="24"/>
              </w:rPr>
            </w:pPr>
          </w:p>
        </w:tc>
      </w:tr>
      <w:tr w:rsidR="003D7302" w:rsidRPr="003A3761" w:rsidTr="00AC0FE0">
        <w:tc>
          <w:tcPr>
            <w:tcW w:w="1701" w:type="dxa"/>
          </w:tcPr>
          <w:p w:rsidR="003D7302" w:rsidRPr="003A3761" w:rsidRDefault="003D7302" w:rsidP="00C24804">
            <w:pPr>
              <w:pStyle w:val="BodyText"/>
              <w:spacing w:line="360" w:lineRule="auto"/>
              <w:jc w:val="both"/>
              <w:rPr>
                <w:rFonts w:cs="Arial"/>
                <w:szCs w:val="24"/>
              </w:rPr>
            </w:pPr>
            <w:r w:rsidRPr="003A3761">
              <w:rPr>
                <w:rFonts w:cs="Arial"/>
                <w:szCs w:val="24"/>
              </w:rPr>
              <w:t>Procedimento</w:t>
            </w:r>
          </w:p>
        </w:tc>
        <w:tc>
          <w:tcPr>
            <w:tcW w:w="673" w:type="dxa"/>
          </w:tcPr>
          <w:p w:rsidR="003D7302" w:rsidRPr="003A3761" w:rsidRDefault="003D7302" w:rsidP="00C24804">
            <w:pPr>
              <w:pStyle w:val="BodyText"/>
              <w:spacing w:line="360" w:lineRule="auto"/>
              <w:jc w:val="both"/>
              <w:rPr>
                <w:rFonts w:cs="Arial"/>
                <w:szCs w:val="24"/>
              </w:rPr>
            </w:pPr>
          </w:p>
        </w:tc>
      </w:tr>
      <w:tr w:rsidR="003D7302" w:rsidRPr="003A3761" w:rsidTr="00AC0FE0">
        <w:tc>
          <w:tcPr>
            <w:tcW w:w="1701" w:type="dxa"/>
          </w:tcPr>
          <w:p w:rsidR="003D7302" w:rsidRPr="003A3761" w:rsidRDefault="003D7302" w:rsidP="00C24804">
            <w:pPr>
              <w:pStyle w:val="BodyText"/>
              <w:spacing w:line="360" w:lineRule="auto"/>
              <w:jc w:val="both"/>
              <w:rPr>
                <w:rFonts w:cs="Arial"/>
                <w:szCs w:val="24"/>
              </w:rPr>
            </w:pPr>
            <w:r w:rsidRPr="003A3761">
              <w:rPr>
                <w:rFonts w:cs="Arial"/>
                <w:szCs w:val="24"/>
              </w:rPr>
              <w:t>Cobertura</w:t>
            </w:r>
          </w:p>
        </w:tc>
        <w:tc>
          <w:tcPr>
            <w:tcW w:w="673" w:type="dxa"/>
          </w:tcPr>
          <w:p w:rsidR="003D7302" w:rsidRPr="003A3761" w:rsidRDefault="003D7302" w:rsidP="00C24804">
            <w:pPr>
              <w:pStyle w:val="BodyText"/>
              <w:spacing w:line="360" w:lineRule="auto"/>
              <w:jc w:val="both"/>
              <w:rPr>
                <w:rFonts w:cs="Arial"/>
                <w:szCs w:val="24"/>
              </w:rPr>
            </w:pPr>
          </w:p>
        </w:tc>
      </w:tr>
    </w:tbl>
    <w:p w:rsidR="003D7302" w:rsidRPr="003A3761" w:rsidRDefault="003D7302" w:rsidP="00C24804">
      <w:pPr>
        <w:pStyle w:val="BodyText"/>
        <w:spacing w:line="360" w:lineRule="auto"/>
        <w:jc w:val="both"/>
        <w:rPr>
          <w:rFonts w:cs="Arial"/>
          <w:szCs w:val="24"/>
        </w:rPr>
      </w:pPr>
      <w:r>
        <w:rPr>
          <w:rFonts w:cs="Arial"/>
          <w:szCs w:val="24"/>
        </w:rPr>
        <w:t>NT /2013</w:t>
      </w:r>
    </w:p>
    <w:p w:rsidR="003D7302" w:rsidRPr="003A3761" w:rsidRDefault="003D7302" w:rsidP="00C24804">
      <w:pPr>
        <w:pStyle w:val="BodyText"/>
        <w:spacing w:line="360" w:lineRule="auto"/>
        <w:jc w:val="both"/>
        <w:rPr>
          <w:rFonts w:cs="Arial"/>
          <w:szCs w:val="24"/>
        </w:rPr>
      </w:pPr>
    </w:p>
    <w:p w:rsidR="003D7302" w:rsidRPr="003A3761" w:rsidRDefault="003D7302" w:rsidP="00C24804">
      <w:pPr>
        <w:pStyle w:val="BodyText"/>
        <w:spacing w:line="360" w:lineRule="auto"/>
        <w:jc w:val="both"/>
        <w:rPr>
          <w:rFonts w:cs="Arial"/>
          <w:szCs w:val="24"/>
        </w:rPr>
      </w:pPr>
    </w:p>
    <w:p w:rsidR="003D7302" w:rsidRPr="003A3761" w:rsidRDefault="003D7302" w:rsidP="00C24804">
      <w:pPr>
        <w:pStyle w:val="BodyText"/>
        <w:spacing w:line="360" w:lineRule="auto"/>
        <w:jc w:val="both"/>
        <w:rPr>
          <w:rFonts w:cs="Arial"/>
          <w:szCs w:val="24"/>
        </w:rPr>
      </w:pPr>
    </w:p>
    <w:p w:rsidR="003D7302" w:rsidRPr="003A3761" w:rsidRDefault="003D7302" w:rsidP="00C24804">
      <w:pPr>
        <w:pStyle w:val="BodyText"/>
        <w:spacing w:line="360" w:lineRule="auto"/>
        <w:jc w:val="both"/>
        <w:rPr>
          <w:rFonts w:cs="Arial"/>
          <w:szCs w:val="24"/>
        </w:rPr>
      </w:pPr>
    </w:p>
    <w:p w:rsidR="003D7302" w:rsidRDefault="003D7302" w:rsidP="00C24804">
      <w:pPr>
        <w:pStyle w:val="BodyText"/>
        <w:spacing w:line="360" w:lineRule="auto"/>
        <w:jc w:val="both"/>
        <w:rPr>
          <w:rFonts w:cs="Arial"/>
          <w:szCs w:val="24"/>
        </w:rPr>
      </w:pPr>
      <w:r w:rsidRPr="003A3761">
        <w:rPr>
          <w:rFonts w:cs="Arial"/>
          <w:szCs w:val="24"/>
        </w:rPr>
        <w:t xml:space="preserve">Solicitante </w:t>
      </w:r>
    </w:p>
    <w:p w:rsidR="003D7302" w:rsidRDefault="003D7302" w:rsidP="00C24804">
      <w:pPr>
        <w:pStyle w:val="BodyText"/>
        <w:spacing w:line="360" w:lineRule="auto"/>
        <w:jc w:val="both"/>
        <w:rPr>
          <w:rFonts w:cs="Arial"/>
          <w:szCs w:val="24"/>
        </w:rPr>
      </w:pPr>
      <w:r>
        <w:rPr>
          <w:rFonts w:cs="Arial"/>
          <w:szCs w:val="24"/>
        </w:rPr>
        <w:t>Dr. Renato Martins Prates</w:t>
      </w:r>
    </w:p>
    <w:p w:rsidR="003D7302" w:rsidRDefault="003D7302" w:rsidP="00C24804">
      <w:pPr>
        <w:pStyle w:val="BodyText"/>
        <w:spacing w:line="360" w:lineRule="auto"/>
        <w:jc w:val="both"/>
        <w:rPr>
          <w:rFonts w:cs="Arial"/>
          <w:szCs w:val="24"/>
        </w:rPr>
      </w:pPr>
      <w:r>
        <w:rPr>
          <w:rFonts w:cs="Arial"/>
          <w:szCs w:val="24"/>
        </w:rPr>
        <w:t>Juiz Federal 8ª Vara</w:t>
      </w:r>
    </w:p>
    <w:p w:rsidR="003D7302" w:rsidRPr="001019F7" w:rsidRDefault="003D7302" w:rsidP="001019F7">
      <w:pPr>
        <w:pStyle w:val="BodyText"/>
        <w:spacing w:line="360" w:lineRule="auto"/>
        <w:jc w:val="both"/>
        <w:rPr>
          <w:rFonts w:cs="Arial"/>
          <w:szCs w:val="24"/>
        </w:rPr>
      </w:pPr>
      <w:r>
        <w:rPr>
          <w:rFonts w:cs="Arial"/>
          <w:szCs w:val="24"/>
        </w:rPr>
        <w:t>Número do processo: 5733079.2013.4.01.3800</w:t>
      </w:r>
    </w:p>
    <w:p w:rsidR="003D7302" w:rsidRPr="003A3761" w:rsidRDefault="003D7302" w:rsidP="00C24804">
      <w:pPr>
        <w:pStyle w:val="BodyText"/>
        <w:spacing w:line="360" w:lineRule="auto"/>
        <w:jc w:val="both"/>
        <w:rPr>
          <w:rFonts w:cs="Arial"/>
          <w:szCs w:val="24"/>
        </w:rPr>
      </w:pPr>
    </w:p>
    <w:p w:rsidR="003D7302" w:rsidRPr="003A3761" w:rsidRDefault="003D7302" w:rsidP="00C24804">
      <w:pPr>
        <w:spacing w:line="360" w:lineRule="auto"/>
        <w:jc w:val="both"/>
        <w:rPr>
          <w:rFonts w:cs="Arial"/>
          <w:b/>
          <w:szCs w:val="24"/>
        </w:rPr>
      </w:pPr>
      <w:r w:rsidRPr="003A3761">
        <w:rPr>
          <w:rFonts w:cs="Arial"/>
          <w:b/>
          <w:szCs w:val="24"/>
        </w:rPr>
        <w:t xml:space="preserve">TEMA: </w:t>
      </w:r>
      <w:r>
        <w:rPr>
          <w:rFonts w:cs="Arial"/>
          <w:b/>
          <w:szCs w:val="24"/>
        </w:rPr>
        <w:t>GEFITINIBE</w:t>
      </w:r>
      <w:r w:rsidRPr="003A3761">
        <w:rPr>
          <w:rFonts w:cs="Arial"/>
          <w:b/>
          <w:szCs w:val="24"/>
        </w:rPr>
        <w:t xml:space="preserve"> (</w:t>
      </w:r>
      <w:r>
        <w:rPr>
          <w:rFonts w:cs="Arial"/>
          <w:b/>
          <w:szCs w:val="24"/>
        </w:rPr>
        <w:t>IRESSA</w:t>
      </w:r>
      <w:r w:rsidRPr="003A3761">
        <w:rPr>
          <w:rFonts w:cs="Arial"/>
          <w:b/>
          <w:szCs w:val="24"/>
        </w:rPr>
        <w:t>®) N</w:t>
      </w:r>
      <w:r>
        <w:rPr>
          <w:rFonts w:cs="Arial"/>
          <w:b/>
          <w:szCs w:val="24"/>
        </w:rPr>
        <w:t>OTRATAMENTO DE SEGUNDA LINHA PARA PACIENTE COM CÂNCER METASTÁTICO DE PULMÃO.</w:t>
      </w:r>
    </w:p>
    <w:p w:rsidR="003D7302" w:rsidRPr="003A3761" w:rsidRDefault="003D7302" w:rsidP="00C24804">
      <w:pPr>
        <w:spacing w:line="360" w:lineRule="auto"/>
        <w:jc w:val="both"/>
        <w:rPr>
          <w:rFonts w:cs="Arial"/>
          <w:b/>
          <w:szCs w:val="24"/>
        </w:rPr>
      </w:pPr>
    </w:p>
    <w:p w:rsidR="003D7302" w:rsidRDefault="003D7302">
      <w:pPr>
        <w:pStyle w:val="TOCHeading"/>
      </w:pPr>
      <w:r>
        <w:t>Sumário</w:t>
      </w:r>
    </w:p>
    <w:p w:rsidR="003D7302" w:rsidRDefault="003D7302">
      <w:pPr>
        <w:pStyle w:val="TOC1"/>
        <w:tabs>
          <w:tab w:val="left" w:pos="440"/>
          <w:tab w:val="right" w:leader="dot" w:pos="8493"/>
        </w:tabs>
        <w:rPr>
          <w:rFonts w:ascii="Calibri" w:eastAsia="MS ??" w:hAnsi="Calibri"/>
          <w:noProof/>
          <w:szCs w:val="24"/>
          <w:lang w:eastAsia="ja-JP"/>
        </w:rPr>
      </w:pPr>
      <w:r>
        <w:fldChar w:fldCharType="begin"/>
      </w:r>
      <w:r>
        <w:instrText xml:space="preserve"> TOC \o "1-3" \h \z \u </w:instrText>
      </w:r>
      <w:r>
        <w:fldChar w:fldCharType="separate"/>
      </w:r>
      <w:bookmarkStart w:id="0" w:name="_GoBack"/>
      <w:bookmarkEnd w:id="0"/>
      <w:r>
        <w:rPr>
          <w:noProof/>
        </w:rPr>
        <w:t>1.</w:t>
      </w:r>
      <w:r>
        <w:rPr>
          <w:rFonts w:ascii="Calibri" w:eastAsia="MS ??" w:hAnsi="Calibri"/>
          <w:noProof/>
          <w:szCs w:val="24"/>
          <w:lang w:eastAsia="ja-JP"/>
        </w:rPr>
        <w:tab/>
      </w:r>
      <w:r>
        <w:rPr>
          <w:noProof/>
        </w:rPr>
        <w:t>Resumo executivo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_Toc245422124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2</w:t>
      </w:r>
      <w:r>
        <w:rPr>
          <w:noProof/>
        </w:rPr>
        <w:fldChar w:fldCharType="end"/>
      </w:r>
    </w:p>
    <w:p w:rsidR="003D7302" w:rsidRDefault="003D7302">
      <w:pPr>
        <w:pStyle w:val="TOC2"/>
        <w:tabs>
          <w:tab w:val="right" w:leader="dot" w:pos="8493"/>
        </w:tabs>
        <w:rPr>
          <w:rFonts w:ascii="Calibri" w:eastAsia="MS ??" w:hAnsi="Calibri"/>
          <w:noProof/>
          <w:szCs w:val="24"/>
          <w:lang w:eastAsia="ja-JP"/>
        </w:rPr>
      </w:pPr>
      <w:r>
        <w:rPr>
          <w:noProof/>
        </w:rPr>
        <w:t>1.1 Recomendação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_Toc245422125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2</w:t>
      </w:r>
      <w:r>
        <w:rPr>
          <w:noProof/>
        </w:rPr>
        <w:fldChar w:fldCharType="end"/>
      </w:r>
    </w:p>
    <w:p w:rsidR="003D7302" w:rsidRDefault="003D7302">
      <w:pPr>
        <w:pStyle w:val="TOC1"/>
        <w:tabs>
          <w:tab w:val="right" w:leader="dot" w:pos="8493"/>
        </w:tabs>
        <w:rPr>
          <w:rFonts w:ascii="Calibri" w:eastAsia="MS ??" w:hAnsi="Calibri"/>
          <w:noProof/>
          <w:szCs w:val="24"/>
          <w:lang w:eastAsia="ja-JP"/>
        </w:rPr>
      </w:pPr>
      <w:r>
        <w:rPr>
          <w:noProof/>
        </w:rPr>
        <w:t>2. Análise da solicitação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_Toc245422126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3</w:t>
      </w:r>
      <w:r>
        <w:rPr>
          <w:noProof/>
        </w:rPr>
        <w:fldChar w:fldCharType="end"/>
      </w:r>
    </w:p>
    <w:p w:rsidR="003D7302" w:rsidRDefault="003D7302">
      <w:pPr>
        <w:pStyle w:val="TOC2"/>
        <w:tabs>
          <w:tab w:val="right" w:leader="dot" w:pos="8493"/>
        </w:tabs>
        <w:rPr>
          <w:rFonts w:ascii="Calibri" w:eastAsia="MS ??" w:hAnsi="Calibri"/>
          <w:noProof/>
          <w:szCs w:val="24"/>
          <w:lang w:eastAsia="ja-JP"/>
        </w:rPr>
      </w:pPr>
      <w:r>
        <w:rPr>
          <w:noProof/>
        </w:rPr>
        <w:t>2.2 Pergunta clínica estruturada.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_Toc245422127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3</w:t>
      </w:r>
      <w:r>
        <w:rPr>
          <w:noProof/>
        </w:rPr>
        <w:fldChar w:fldCharType="end"/>
      </w:r>
    </w:p>
    <w:p w:rsidR="003D7302" w:rsidRDefault="003D7302">
      <w:pPr>
        <w:pStyle w:val="TOC2"/>
        <w:tabs>
          <w:tab w:val="right" w:leader="dot" w:pos="8493"/>
        </w:tabs>
        <w:rPr>
          <w:rFonts w:ascii="Calibri" w:eastAsia="MS ??" w:hAnsi="Calibri"/>
          <w:noProof/>
          <w:szCs w:val="24"/>
          <w:lang w:eastAsia="ja-JP"/>
        </w:rPr>
      </w:pPr>
      <w:r>
        <w:rPr>
          <w:noProof/>
        </w:rPr>
        <w:t>2.2 Quesitos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_Toc245422128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3</w:t>
      </w:r>
      <w:r>
        <w:rPr>
          <w:noProof/>
        </w:rPr>
        <w:fldChar w:fldCharType="end"/>
      </w:r>
    </w:p>
    <w:p w:rsidR="003D7302" w:rsidRDefault="003D7302">
      <w:pPr>
        <w:pStyle w:val="TOC2"/>
        <w:tabs>
          <w:tab w:val="right" w:leader="dot" w:pos="8493"/>
        </w:tabs>
        <w:rPr>
          <w:rFonts w:ascii="Calibri" w:eastAsia="MS ??" w:hAnsi="Calibri"/>
          <w:noProof/>
          <w:szCs w:val="24"/>
          <w:lang w:eastAsia="ja-JP"/>
        </w:rPr>
      </w:pPr>
      <w:r>
        <w:rPr>
          <w:noProof/>
        </w:rPr>
        <w:t>2.3 Contexto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_Toc245422129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3</w:t>
      </w:r>
      <w:r>
        <w:rPr>
          <w:noProof/>
        </w:rPr>
        <w:fldChar w:fldCharType="end"/>
      </w:r>
    </w:p>
    <w:p w:rsidR="003D7302" w:rsidRDefault="003D7302">
      <w:pPr>
        <w:pStyle w:val="TOC2"/>
        <w:tabs>
          <w:tab w:val="right" w:leader="dot" w:pos="8493"/>
        </w:tabs>
        <w:rPr>
          <w:rFonts w:ascii="Calibri" w:eastAsia="MS ??" w:hAnsi="Calibri"/>
          <w:noProof/>
          <w:szCs w:val="24"/>
          <w:lang w:eastAsia="ja-JP"/>
        </w:rPr>
      </w:pPr>
      <w:r>
        <w:rPr>
          <w:noProof/>
        </w:rPr>
        <w:t>2.4 Descrição da tecnologia a ser avaliada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_Toc245422130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4</w:t>
      </w:r>
      <w:r>
        <w:rPr>
          <w:noProof/>
        </w:rPr>
        <w:fldChar w:fldCharType="end"/>
      </w:r>
    </w:p>
    <w:p w:rsidR="003D7302" w:rsidRDefault="003D7302">
      <w:pPr>
        <w:pStyle w:val="TOC2"/>
        <w:tabs>
          <w:tab w:val="right" w:leader="dot" w:pos="8493"/>
        </w:tabs>
        <w:rPr>
          <w:rFonts w:ascii="Calibri" w:eastAsia="MS ??" w:hAnsi="Calibri"/>
          <w:noProof/>
          <w:szCs w:val="24"/>
          <w:lang w:eastAsia="ja-JP"/>
        </w:rPr>
      </w:pPr>
      <w:r w:rsidRPr="002240B6">
        <w:rPr>
          <w:noProof/>
        </w:rPr>
        <w:t>Disponibilidade no SUS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_Toc245422131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5</w:t>
      </w:r>
      <w:r>
        <w:rPr>
          <w:noProof/>
        </w:rPr>
        <w:fldChar w:fldCharType="end"/>
      </w:r>
    </w:p>
    <w:p w:rsidR="003D7302" w:rsidRDefault="003D7302">
      <w:pPr>
        <w:pStyle w:val="TOC1"/>
        <w:tabs>
          <w:tab w:val="right" w:leader="dot" w:pos="8493"/>
        </w:tabs>
        <w:rPr>
          <w:rFonts w:ascii="Calibri" w:eastAsia="MS ??" w:hAnsi="Calibri"/>
          <w:noProof/>
          <w:szCs w:val="24"/>
          <w:lang w:eastAsia="ja-JP"/>
        </w:rPr>
      </w:pPr>
      <w:r>
        <w:rPr>
          <w:noProof/>
        </w:rPr>
        <w:t>3. Resultados da Revisão da literatura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_Toc245422132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6</w:t>
      </w:r>
      <w:r>
        <w:rPr>
          <w:noProof/>
        </w:rPr>
        <w:fldChar w:fldCharType="end"/>
      </w:r>
    </w:p>
    <w:p w:rsidR="003D7302" w:rsidRDefault="003D7302">
      <w:pPr>
        <w:pStyle w:val="TOC1"/>
        <w:tabs>
          <w:tab w:val="left" w:pos="440"/>
          <w:tab w:val="right" w:leader="dot" w:pos="8493"/>
        </w:tabs>
        <w:rPr>
          <w:rFonts w:ascii="Calibri" w:eastAsia="MS ??" w:hAnsi="Calibri"/>
          <w:noProof/>
          <w:szCs w:val="24"/>
          <w:lang w:eastAsia="ja-JP"/>
        </w:rPr>
      </w:pPr>
      <w:r>
        <w:rPr>
          <w:noProof/>
        </w:rPr>
        <w:t>4.</w:t>
      </w:r>
      <w:r>
        <w:rPr>
          <w:rFonts w:ascii="Calibri" w:eastAsia="MS ??" w:hAnsi="Calibri"/>
          <w:noProof/>
          <w:szCs w:val="24"/>
          <w:lang w:eastAsia="ja-JP"/>
        </w:rPr>
        <w:tab/>
      </w:r>
      <w:r>
        <w:rPr>
          <w:noProof/>
        </w:rPr>
        <w:t>Referências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_Toc245422133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7</w:t>
      </w:r>
      <w:r>
        <w:rPr>
          <w:noProof/>
        </w:rPr>
        <w:fldChar w:fldCharType="end"/>
      </w:r>
    </w:p>
    <w:p w:rsidR="003D7302" w:rsidRDefault="003D7302">
      <w:r>
        <w:fldChar w:fldCharType="end"/>
      </w:r>
    </w:p>
    <w:p w:rsidR="003D7302" w:rsidRDefault="003D7302" w:rsidP="00C24804">
      <w:pPr>
        <w:spacing w:line="360" w:lineRule="auto"/>
        <w:jc w:val="both"/>
        <w:rPr>
          <w:rFonts w:ascii="Calibri" w:hAnsi="Calibri" w:cs="Calibri"/>
          <w:b/>
          <w:sz w:val="22"/>
          <w:szCs w:val="22"/>
        </w:rPr>
      </w:pPr>
    </w:p>
    <w:p w:rsidR="003D7302" w:rsidRDefault="003D7302" w:rsidP="00C24804">
      <w:pPr>
        <w:spacing w:line="360" w:lineRule="auto"/>
        <w:jc w:val="both"/>
        <w:rPr>
          <w:rFonts w:ascii="Calibri" w:hAnsi="Calibri" w:cs="Calibri"/>
          <w:b/>
          <w:sz w:val="22"/>
          <w:szCs w:val="22"/>
        </w:rPr>
      </w:pPr>
    </w:p>
    <w:p w:rsidR="003D7302" w:rsidRDefault="003D7302" w:rsidP="00C24804">
      <w:pPr>
        <w:spacing w:line="360" w:lineRule="auto"/>
        <w:jc w:val="both"/>
        <w:rPr>
          <w:rFonts w:ascii="Calibri" w:hAnsi="Calibri" w:cs="Calibri"/>
          <w:b/>
          <w:sz w:val="22"/>
          <w:szCs w:val="22"/>
        </w:rPr>
      </w:pPr>
    </w:p>
    <w:p w:rsidR="003D7302" w:rsidRDefault="003D7302" w:rsidP="00C24804">
      <w:pPr>
        <w:spacing w:line="360" w:lineRule="auto"/>
        <w:jc w:val="both"/>
        <w:rPr>
          <w:rFonts w:ascii="Calibri" w:hAnsi="Calibri" w:cs="Calibri"/>
          <w:b/>
          <w:sz w:val="22"/>
          <w:szCs w:val="22"/>
        </w:rPr>
      </w:pPr>
    </w:p>
    <w:p w:rsidR="003D7302" w:rsidRPr="00A7310A" w:rsidRDefault="003D7302" w:rsidP="00A7310A">
      <w:pPr>
        <w:pStyle w:val="Heading1"/>
      </w:pPr>
      <w:bookmarkStart w:id="1" w:name="_Toc245422124"/>
      <w:r>
        <w:t>Resumo executivo</w:t>
      </w:r>
      <w:bookmarkEnd w:id="1"/>
    </w:p>
    <w:p w:rsidR="003D7302" w:rsidRDefault="003D7302" w:rsidP="00C24804">
      <w:pPr>
        <w:spacing w:line="360" w:lineRule="auto"/>
        <w:ind w:left="720"/>
        <w:jc w:val="both"/>
        <w:rPr>
          <w:rFonts w:ascii="Calibri" w:hAnsi="Calibri" w:cs="Calibri"/>
          <w:b/>
          <w:sz w:val="22"/>
          <w:szCs w:val="22"/>
        </w:rPr>
      </w:pPr>
    </w:p>
    <w:p w:rsidR="003D7302" w:rsidRPr="00E91944" w:rsidRDefault="003D7302" w:rsidP="003A3761">
      <w:pPr>
        <w:spacing w:line="360" w:lineRule="auto"/>
        <w:jc w:val="both"/>
        <w:rPr>
          <w:rFonts w:cs="Arial"/>
          <w:b/>
          <w:i/>
          <w:szCs w:val="24"/>
        </w:rPr>
      </w:pPr>
      <w:r>
        <w:rPr>
          <w:rFonts w:cs="Arial"/>
          <w:b/>
          <w:i/>
          <w:szCs w:val="24"/>
        </w:rPr>
        <w:t>Solicitação</w:t>
      </w:r>
    </w:p>
    <w:p w:rsidR="003D7302" w:rsidRPr="00E91944" w:rsidRDefault="003D7302" w:rsidP="00E91944">
      <w:pPr>
        <w:spacing w:line="360" w:lineRule="auto"/>
        <w:jc w:val="both"/>
        <w:rPr>
          <w:rFonts w:cs="Arial"/>
          <w:szCs w:val="24"/>
        </w:rPr>
      </w:pPr>
      <w:r w:rsidRPr="00E91944">
        <w:rPr>
          <w:rFonts w:cs="Arial"/>
          <w:szCs w:val="24"/>
        </w:rPr>
        <w:t xml:space="preserve">Não há muitas informações clínicas na solicitação, apenas que </w:t>
      </w:r>
      <w:r>
        <w:rPr>
          <w:rFonts w:cs="Arial"/>
          <w:szCs w:val="24"/>
        </w:rPr>
        <w:t>se trata</w:t>
      </w:r>
      <w:r w:rsidRPr="00E91944">
        <w:rPr>
          <w:rFonts w:cs="Arial"/>
          <w:szCs w:val="24"/>
        </w:rPr>
        <w:t xml:space="preserve"> de paciente</w:t>
      </w:r>
      <w:r>
        <w:rPr>
          <w:rFonts w:cs="Arial"/>
          <w:szCs w:val="24"/>
        </w:rPr>
        <w:t xml:space="preserve"> Inês Aparecida Soares</w:t>
      </w:r>
      <w:r w:rsidRPr="00E91944">
        <w:rPr>
          <w:rFonts w:cs="Arial"/>
          <w:szCs w:val="24"/>
        </w:rPr>
        <w:t xml:space="preserve"> </w:t>
      </w:r>
      <w:r>
        <w:rPr>
          <w:rFonts w:cs="Arial"/>
          <w:szCs w:val="24"/>
        </w:rPr>
        <w:t xml:space="preserve">portador de </w:t>
      </w:r>
      <w:r w:rsidRPr="00E91944">
        <w:rPr>
          <w:rFonts w:cs="Arial"/>
          <w:szCs w:val="24"/>
        </w:rPr>
        <w:t xml:space="preserve">CID C 34.9 </w:t>
      </w:r>
      <w:r>
        <w:rPr>
          <w:rFonts w:cs="Arial"/>
          <w:szCs w:val="24"/>
        </w:rPr>
        <w:t xml:space="preserve">com </w:t>
      </w:r>
      <w:r w:rsidRPr="00E91944">
        <w:rPr>
          <w:rFonts w:cs="Arial"/>
          <w:szCs w:val="24"/>
        </w:rPr>
        <w:t>metástase</w:t>
      </w:r>
      <w:r>
        <w:rPr>
          <w:rFonts w:cs="Arial"/>
          <w:szCs w:val="24"/>
        </w:rPr>
        <w:t>.</w:t>
      </w:r>
      <w:r w:rsidRPr="00E91944">
        <w:rPr>
          <w:rFonts w:cs="Arial"/>
          <w:szCs w:val="24"/>
        </w:rPr>
        <w:t xml:space="preserve"> </w:t>
      </w:r>
    </w:p>
    <w:p w:rsidR="003D7302" w:rsidRPr="00277DA6" w:rsidRDefault="003D7302" w:rsidP="0075054E">
      <w:pPr>
        <w:pStyle w:val="Heading2"/>
        <w:numPr>
          <w:ilvl w:val="0"/>
          <w:numId w:val="0"/>
        </w:numPr>
      </w:pPr>
      <w:bookmarkStart w:id="2" w:name="_Toc245422125"/>
      <w:r>
        <w:t xml:space="preserve">1.1 </w:t>
      </w:r>
      <w:r w:rsidRPr="00277DA6">
        <w:t>Recomendação</w:t>
      </w:r>
      <w:bookmarkEnd w:id="2"/>
    </w:p>
    <w:p w:rsidR="003D7302" w:rsidRDefault="003D7302" w:rsidP="00FE5892">
      <w:pPr>
        <w:spacing w:line="360" w:lineRule="auto"/>
        <w:jc w:val="both"/>
        <w:rPr>
          <w:rFonts w:cs="Arial"/>
          <w:szCs w:val="24"/>
        </w:rPr>
      </w:pPr>
      <w:r>
        <w:rPr>
          <w:rFonts w:cs="Arial"/>
          <w:szCs w:val="24"/>
        </w:rPr>
        <w:t>A expectativa de vida de um paciente com câncer metastático é de 10 meses de vida com qualquer esquema quimioterápico, com ganho mediano de dois meses atribuível à quimioterapia, à custa de intensos efeitos colaterais inerentes ao tratamento.</w:t>
      </w:r>
    </w:p>
    <w:p w:rsidR="003D7302" w:rsidRDefault="003D7302" w:rsidP="00FE5892">
      <w:pPr>
        <w:spacing w:line="360" w:lineRule="auto"/>
        <w:jc w:val="both"/>
        <w:rPr>
          <w:rFonts w:cs="Arial"/>
          <w:szCs w:val="24"/>
        </w:rPr>
      </w:pPr>
      <w:r>
        <w:rPr>
          <w:rFonts w:cs="Arial"/>
          <w:szCs w:val="24"/>
        </w:rPr>
        <w:t>Os estudos com o gefitinibe não mostraram ganho de sobrevida e em alguns houve piora da sobrevida comparado a placebo. Na falta de efeito sobre a sobrevida global, os autores buscaram um desfecho intermediário – sobrevida livre de progressão da doença. Nesse desfecho, o paciente evolui para o óbito no mesmo tempo, mas a doença demora um pouco mais para se manifestar clinicamente. Nesses estudos o ganho de sobrevida livre de progressão foi estatisticamente significativo para o grupo que usou gefitinibe, mas clinicamente irrelevante – houve ganho de dias, comparado ao grupo placebo.</w:t>
      </w:r>
    </w:p>
    <w:p w:rsidR="003D7302" w:rsidRDefault="003D7302" w:rsidP="00FE5892">
      <w:pPr>
        <w:spacing w:line="360" w:lineRule="auto"/>
        <w:jc w:val="both"/>
        <w:rPr>
          <w:rFonts w:cs="Arial"/>
          <w:szCs w:val="24"/>
        </w:rPr>
      </w:pPr>
    </w:p>
    <w:p w:rsidR="003D7302" w:rsidRPr="003A3761" w:rsidRDefault="003D7302" w:rsidP="00FE5892">
      <w:pPr>
        <w:spacing w:line="360" w:lineRule="auto"/>
        <w:jc w:val="both"/>
        <w:rPr>
          <w:rFonts w:cs="Arial"/>
          <w:szCs w:val="24"/>
        </w:rPr>
      </w:pPr>
    </w:p>
    <w:p w:rsidR="003D7302" w:rsidRPr="003A3761" w:rsidRDefault="003D7302" w:rsidP="000853A5">
      <w:pPr>
        <w:spacing w:line="360" w:lineRule="auto"/>
        <w:jc w:val="both"/>
        <w:rPr>
          <w:rFonts w:cs="Arial"/>
          <w:b/>
          <w:szCs w:val="24"/>
        </w:rPr>
      </w:pPr>
      <w:r w:rsidRPr="003A3761">
        <w:rPr>
          <w:rFonts w:cs="Arial"/>
          <w:b/>
          <w:szCs w:val="24"/>
        </w:rPr>
        <w:t xml:space="preserve">Conclusão: </w:t>
      </w:r>
    </w:p>
    <w:p w:rsidR="003D7302" w:rsidRPr="003A3761" w:rsidRDefault="003D7302" w:rsidP="00C24804">
      <w:pPr>
        <w:spacing w:line="360" w:lineRule="auto"/>
        <w:jc w:val="both"/>
        <w:rPr>
          <w:rFonts w:cs="Arial"/>
          <w:b/>
          <w:szCs w:val="24"/>
        </w:rPr>
      </w:pPr>
      <w:r>
        <w:rPr>
          <w:rFonts w:cs="Arial"/>
          <w:b/>
          <w:szCs w:val="24"/>
        </w:rPr>
        <w:t xml:space="preserve">O medicamento não mostrou benefício clínico relevante em nenhum dos estudos apresentados, não mostrando qualquer ganho de sobrevida. </w:t>
      </w:r>
      <w:r w:rsidRPr="001424DF">
        <w:rPr>
          <w:rFonts w:cs="Arial"/>
          <w:b/>
          <w:bCs/>
          <w:szCs w:val="24"/>
        </w:rPr>
        <w:t>Além disso, os</w:t>
      </w:r>
      <w:r>
        <w:rPr>
          <w:rFonts w:cs="Arial"/>
          <w:b/>
          <w:bCs/>
          <w:szCs w:val="24"/>
        </w:rPr>
        <w:t xml:space="preserve"> </w:t>
      </w:r>
      <w:r w:rsidRPr="001424DF">
        <w:rPr>
          <w:rFonts w:cs="Arial"/>
          <w:b/>
          <w:bCs/>
          <w:szCs w:val="24"/>
        </w:rPr>
        <w:t>benefícios</w:t>
      </w:r>
      <w:r>
        <w:rPr>
          <w:rFonts w:cs="Arial"/>
          <w:b/>
          <w:bCs/>
          <w:szCs w:val="24"/>
        </w:rPr>
        <w:t xml:space="preserve"> </w:t>
      </w:r>
      <w:r w:rsidRPr="001424DF">
        <w:rPr>
          <w:rFonts w:cs="Arial"/>
          <w:b/>
          <w:bCs/>
          <w:szCs w:val="24"/>
        </w:rPr>
        <w:t>demonstrados</w:t>
      </w:r>
      <w:r>
        <w:rPr>
          <w:rFonts w:cs="Arial"/>
          <w:b/>
          <w:bCs/>
          <w:szCs w:val="24"/>
        </w:rPr>
        <w:t xml:space="preserve"> </w:t>
      </w:r>
      <w:r w:rsidRPr="001424DF">
        <w:rPr>
          <w:rFonts w:cs="Arial"/>
          <w:b/>
          <w:bCs/>
          <w:szCs w:val="24"/>
        </w:rPr>
        <w:t>em</w:t>
      </w:r>
      <w:r>
        <w:rPr>
          <w:rFonts w:cs="Arial"/>
          <w:b/>
          <w:bCs/>
          <w:szCs w:val="24"/>
        </w:rPr>
        <w:t xml:space="preserve"> </w:t>
      </w:r>
      <w:r w:rsidRPr="001424DF">
        <w:rPr>
          <w:rFonts w:cs="Arial"/>
          <w:b/>
          <w:bCs/>
          <w:szCs w:val="24"/>
        </w:rPr>
        <w:t>termos de sobrevida</w:t>
      </w:r>
      <w:r>
        <w:rPr>
          <w:rFonts w:cs="Arial"/>
          <w:b/>
          <w:bCs/>
          <w:szCs w:val="24"/>
        </w:rPr>
        <w:t xml:space="preserve"> </w:t>
      </w:r>
      <w:r w:rsidRPr="001424DF">
        <w:rPr>
          <w:rFonts w:cs="Arial"/>
          <w:b/>
          <w:bCs/>
          <w:szCs w:val="24"/>
        </w:rPr>
        <w:t>livre de progressão</w:t>
      </w:r>
      <w:r>
        <w:rPr>
          <w:rFonts w:cs="Arial"/>
          <w:b/>
          <w:bCs/>
          <w:szCs w:val="24"/>
        </w:rPr>
        <w:t xml:space="preserve"> </w:t>
      </w:r>
      <w:r w:rsidRPr="001424DF">
        <w:rPr>
          <w:rFonts w:cs="Arial"/>
          <w:b/>
          <w:bCs/>
          <w:szCs w:val="24"/>
        </w:rPr>
        <w:t>são</w:t>
      </w:r>
      <w:r>
        <w:rPr>
          <w:rFonts w:cs="Arial"/>
          <w:b/>
          <w:bCs/>
          <w:szCs w:val="24"/>
        </w:rPr>
        <w:t xml:space="preserve"> </w:t>
      </w:r>
      <w:r w:rsidRPr="001424DF">
        <w:rPr>
          <w:rFonts w:cs="Arial"/>
          <w:b/>
          <w:bCs/>
          <w:szCs w:val="24"/>
        </w:rPr>
        <w:t>provenientes de estudos de baixa</w:t>
      </w:r>
      <w:r>
        <w:rPr>
          <w:rFonts w:cs="Arial"/>
          <w:b/>
          <w:bCs/>
          <w:szCs w:val="24"/>
        </w:rPr>
        <w:t xml:space="preserve"> </w:t>
      </w:r>
      <w:r w:rsidRPr="001424DF">
        <w:rPr>
          <w:rFonts w:cs="Arial"/>
          <w:b/>
          <w:bCs/>
          <w:szCs w:val="24"/>
        </w:rPr>
        <w:t>qualidade</w:t>
      </w:r>
      <w:r>
        <w:rPr>
          <w:rFonts w:cs="Arial"/>
          <w:b/>
          <w:bCs/>
          <w:szCs w:val="24"/>
        </w:rPr>
        <w:t xml:space="preserve"> </w:t>
      </w:r>
      <w:r w:rsidRPr="001424DF">
        <w:rPr>
          <w:rFonts w:cs="Arial"/>
          <w:b/>
          <w:bCs/>
          <w:szCs w:val="24"/>
        </w:rPr>
        <w:t>metodológica, que</w:t>
      </w:r>
      <w:r>
        <w:rPr>
          <w:rFonts w:cs="Arial"/>
          <w:b/>
          <w:bCs/>
          <w:szCs w:val="24"/>
        </w:rPr>
        <w:t xml:space="preserve"> </w:t>
      </w:r>
      <w:r w:rsidRPr="001424DF">
        <w:rPr>
          <w:rFonts w:cs="Arial"/>
          <w:b/>
          <w:bCs/>
          <w:szCs w:val="24"/>
        </w:rPr>
        <w:t>geram</w:t>
      </w:r>
      <w:r>
        <w:rPr>
          <w:rFonts w:cs="Arial"/>
          <w:b/>
          <w:bCs/>
          <w:szCs w:val="24"/>
        </w:rPr>
        <w:t xml:space="preserve"> </w:t>
      </w:r>
      <w:r w:rsidRPr="001424DF">
        <w:rPr>
          <w:rFonts w:cs="Arial"/>
          <w:b/>
          <w:bCs/>
          <w:szCs w:val="24"/>
        </w:rPr>
        <w:t>incerteza</w:t>
      </w:r>
      <w:r>
        <w:rPr>
          <w:rFonts w:cs="Arial"/>
          <w:b/>
          <w:bCs/>
          <w:szCs w:val="24"/>
        </w:rPr>
        <w:t xml:space="preserve"> </w:t>
      </w:r>
      <w:r w:rsidRPr="001424DF">
        <w:rPr>
          <w:rFonts w:cs="Arial"/>
          <w:b/>
          <w:bCs/>
          <w:szCs w:val="24"/>
        </w:rPr>
        <w:t>quanto</w:t>
      </w:r>
      <w:r>
        <w:rPr>
          <w:rFonts w:cs="Arial"/>
          <w:b/>
          <w:bCs/>
          <w:szCs w:val="24"/>
        </w:rPr>
        <w:t xml:space="preserve"> </w:t>
      </w:r>
      <w:r w:rsidRPr="001424DF">
        <w:rPr>
          <w:rFonts w:cs="Arial"/>
          <w:b/>
          <w:bCs/>
          <w:szCs w:val="24"/>
        </w:rPr>
        <w:t>a</w:t>
      </w:r>
      <w:r>
        <w:rPr>
          <w:rFonts w:cs="Arial"/>
          <w:b/>
          <w:bCs/>
          <w:szCs w:val="24"/>
        </w:rPr>
        <w:t xml:space="preserve"> </w:t>
      </w:r>
      <w:r w:rsidRPr="001424DF">
        <w:rPr>
          <w:rFonts w:cs="Arial"/>
          <w:b/>
          <w:bCs/>
          <w:szCs w:val="24"/>
        </w:rPr>
        <w:t>esses</w:t>
      </w:r>
      <w:r>
        <w:rPr>
          <w:rFonts w:cs="Arial"/>
          <w:b/>
          <w:bCs/>
          <w:szCs w:val="24"/>
        </w:rPr>
        <w:t xml:space="preserve"> </w:t>
      </w:r>
      <w:r w:rsidRPr="001424DF">
        <w:rPr>
          <w:rFonts w:cs="Arial"/>
          <w:b/>
          <w:bCs/>
          <w:szCs w:val="24"/>
        </w:rPr>
        <w:t>desfechos.</w:t>
      </w:r>
    </w:p>
    <w:p w:rsidR="003D7302" w:rsidRDefault="003D7302">
      <w:pPr>
        <w:overflowPunct/>
        <w:autoSpaceDE/>
        <w:autoSpaceDN/>
        <w:adjustRightInd/>
        <w:textAlignment w:val="auto"/>
      </w:pPr>
    </w:p>
    <w:p w:rsidR="003D7302" w:rsidRDefault="003D7302">
      <w:pPr>
        <w:overflowPunct/>
        <w:autoSpaceDE/>
        <w:autoSpaceDN/>
        <w:adjustRightInd/>
        <w:textAlignment w:val="auto"/>
      </w:pPr>
    </w:p>
    <w:p w:rsidR="003D7302" w:rsidRDefault="003D7302">
      <w:pPr>
        <w:overflowPunct/>
        <w:autoSpaceDE/>
        <w:autoSpaceDN/>
        <w:adjustRightInd/>
        <w:textAlignment w:val="auto"/>
      </w:pPr>
    </w:p>
    <w:p w:rsidR="003D7302" w:rsidRDefault="003D7302">
      <w:pPr>
        <w:overflowPunct/>
        <w:autoSpaceDE/>
        <w:autoSpaceDN/>
        <w:adjustRightInd/>
        <w:textAlignment w:val="auto"/>
      </w:pPr>
    </w:p>
    <w:p w:rsidR="003D7302" w:rsidRDefault="003D7302">
      <w:pPr>
        <w:overflowPunct/>
        <w:autoSpaceDE/>
        <w:autoSpaceDN/>
        <w:adjustRightInd/>
        <w:textAlignment w:val="auto"/>
        <w:rPr>
          <w:b/>
          <w:smallCaps/>
          <w:kern w:val="28"/>
          <w:sz w:val="32"/>
        </w:rPr>
      </w:pPr>
      <w:r>
        <w:br w:type="page"/>
      </w:r>
    </w:p>
    <w:p w:rsidR="003D7302" w:rsidRDefault="003D7302" w:rsidP="00423B67">
      <w:pPr>
        <w:pStyle w:val="Heading1"/>
        <w:numPr>
          <w:ilvl w:val="0"/>
          <w:numId w:val="0"/>
        </w:numPr>
        <w:ind w:left="708" w:hanging="708"/>
      </w:pPr>
      <w:bookmarkStart w:id="3" w:name="_Toc245422126"/>
      <w:r>
        <w:t>2. Análise da solicitação</w:t>
      </w:r>
      <w:bookmarkEnd w:id="3"/>
    </w:p>
    <w:p w:rsidR="003D7302" w:rsidRDefault="003D7302" w:rsidP="00423B67">
      <w:pPr>
        <w:pStyle w:val="Heading2"/>
        <w:numPr>
          <w:ilvl w:val="0"/>
          <w:numId w:val="0"/>
        </w:numPr>
      </w:pPr>
      <w:bookmarkStart w:id="4" w:name="_Toc245422127"/>
      <w:r>
        <w:t>2.2 Pergunta clínica estruturada.</w:t>
      </w:r>
      <w:bookmarkEnd w:id="4"/>
    </w:p>
    <w:p w:rsidR="003D7302" w:rsidRPr="003A3761" w:rsidRDefault="003D7302" w:rsidP="005B56D0">
      <w:pPr>
        <w:spacing w:line="360" w:lineRule="auto"/>
        <w:jc w:val="both"/>
        <w:rPr>
          <w:rFonts w:cs="Arial"/>
          <w:szCs w:val="24"/>
        </w:rPr>
      </w:pPr>
      <w:r w:rsidRPr="003A3761">
        <w:rPr>
          <w:rFonts w:cs="Arial"/>
          <w:szCs w:val="24"/>
        </w:rPr>
        <w:t xml:space="preserve">População: </w:t>
      </w:r>
      <w:r>
        <w:rPr>
          <w:rFonts w:cs="Arial"/>
          <w:szCs w:val="24"/>
        </w:rPr>
        <w:t>Paciente portador de câncer metastático de pulmão.</w:t>
      </w:r>
    </w:p>
    <w:p w:rsidR="003D7302" w:rsidRDefault="003D7302" w:rsidP="00F15F33">
      <w:pPr>
        <w:spacing w:line="360" w:lineRule="auto"/>
        <w:jc w:val="both"/>
        <w:rPr>
          <w:rFonts w:cs="Arial"/>
          <w:szCs w:val="24"/>
        </w:rPr>
      </w:pPr>
      <w:r w:rsidRPr="003A3761">
        <w:rPr>
          <w:rFonts w:cs="Arial"/>
          <w:szCs w:val="24"/>
        </w:rPr>
        <w:t xml:space="preserve">Intervenção: </w:t>
      </w:r>
      <w:r>
        <w:rPr>
          <w:rFonts w:cs="Arial"/>
          <w:szCs w:val="24"/>
        </w:rPr>
        <w:t>gefitinibe</w:t>
      </w:r>
      <w:r w:rsidRPr="003A3761">
        <w:rPr>
          <w:rFonts w:cs="Arial"/>
          <w:szCs w:val="24"/>
        </w:rPr>
        <w:t xml:space="preserve"> (</w:t>
      </w:r>
      <w:r>
        <w:rPr>
          <w:rFonts w:cs="Arial"/>
          <w:szCs w:val="24"/>
        </w:rPr>
        <w:t>Iressa</w:t>
      </w:r>
      <w:r w:rsidRPr="003A3761">
        <w:rPr>
          <w:rFonts w:cs="Arial"/>
          <w:szCs w:val="24"/>
        </w:rPr>
        <w:t xml:space="preserve">®) </w:t>
      </w:r>
    </w:p>
    <w:p w:rsidR="003D7302" w:rsidRPr="003A3761" w:rsidRDefault="003D7302" w:rsidP="005B56D0">
      <w:pPr>
        <w:spacing w:line="360" w:lineRule="auto"/>
        <w:jc w:val="both"/>
        <w:rPr>
          <w:rFonts w:cs="Arial"/>
          <w:szCs w:val="24"/>
        </w:rPr>
      </w:pPr>
      <w:r w:rsidRPr="003A3761">
        <w:rPr>
          <w:rFonts w:cs="Arial"/>
          <w:szCs w:val="24"/>
        </w:rPr>
        <w:t>Comparação:</w:t>
      </w:r>
      <w:r w:rsidRPr="00EB7A63">
        <w:rPr>
          <w:rFonts w:cs="Arial"/>
          <w:szCs w:val="24"/>
        </w:rPr>
        <w:t>Quimioterapia com docetaxel</w:t>
      </w:r>
      <w:r>
        <w:rPr>
          <w:rFonts w:cs="Arial"/>
          <w:szCs w:val="24"/>
        </w:rPr>
        <w:t xml:space="preserve"> ou melhor suporte clínico.</w:t>
      </w:r>
    </w:p>
    <w:p w:rsidR="003D7302" w:rsidRDefault="003D7302" w:rsidP="0081136E">
      <w:pPr>
        <w:spacing w:line="360" w:lineRule="auto"/>
        <w:jc w:val="both"/>
        <w:rPr>
          <w:rFonts w:cs="Arial"/>
          <w:szCs w:val="24"/>
        </w:rPr>
      </w:pPr>
      <w:r w:rsidRPr="003A3761">
        <w:rPr>
          <w:rFonts w:cs="Arial"/>
          <w:szCs w:val="24"/>
        </w:rPr>
        <w:t xml:space="preserve">Desfecho: </w:t>
      </w:r>
      <w:r>
        <w:rPr>
          <w:rFonts w:cs="Arial"/>
          <w:szCs w:val="24"/>
        </w:rPr>
        <w:t>Sobrevida global</w:t>
      </w:r>
      <w:r w:rsidRPr="003A3761">
        <w:rPr>
          <w:rFonts w:cs="Arial"/>
          <w:szCs w:val="24"/>
        </w:rPr>
        <w:t>.</w:t>
      </w:r>
    </w:p>
    <w:p w:rsidR="003D7302" w:rsidRDefault="003D7302" w:rsidP="00220196">
      <w:pPr>
        <w:spacing w:line="360" w:lineRule="auto"/>
      </w:pPr>
    </w:p>
    <w:p w:rsidR="003D7302" w:rsidRDefault="003D7302" w:rsidP="00A47B41">
      <w:pPr>
        <w:pStyle w:val="Heading2"/>
        <w:numPr>
          <w:ilvl w:val="0"/>
          <w:numId w:val="0"/>
        </w:numPr>
      </w:pPr>
      <w:bookmarkStart w:id="5" w:name="_Toc245422128"/>
      <w:r w:rsidRPr="00A47B41">
        <w:t>2.2 Quesitos</w:t>
      </w:r>
      <w:bookmarkEnd w:id="5"/>
    </w:p>
    <w:p w:rsidR="003D7302" w:rsidRDefault="003D7302" w:rsidP="00220196">
      <w:pPr>
        <w:spacing w:line="360" w:lineRule="auto"/>
      </w:pPr>
      <w:r>
        <w:t>Para melhor contextualizar a pergunta, algumas informações clínicas seriam relevantes:</w:t>
      </w:r>
    </w:p>
    <w:p w:rsidR="003D7302" w:rsidRDefault="003D7302" w:rsidP="006628EC">
      <w:pPr>
        <w:pStyle w:val="ListParagraph"/>
        <w:numPr>
          <w:ilvl w:val="0"/>
          <w:numId w:val="27"/>
        </w:numPr>
        <w:spacing w:line="360" w:lineRule="auto"/>
        <w:rPr>
          <w:i/>
        </w:rPr>
      </w:pPr>
      <w:r>
        <w:t>O paciente já fez tratamentos prévios com quimioterapia ou esse é seu primeiro tratamento</w:t>
      </w:r>
      <w:r w:rsidRPr="006628EC">
        <w:rPr>
          <w:i/>
        </w:rPr>
        <w:t>?</w:t>
      </w:r>
    </w:p>
    <w:p w:rsidR="003D7302" w:rsidRPr="006628EC" w:rsidRDefault="003D7302" w:rsidP="006628EC">
      <w:pPr>
        <w:pStyle w:val="ListParagraph"/>
        <w:numPr>
          <w:ilvl w:val="0"/>
          <w:numId w:val="27"/>
        </w:numPr>
        <w:spacing w:line="360" w:lineRule="auto"/>
        <w:rPr>
          <w:i/>
        </w:rPr>
      </w:pPr>
      <w:r>
        <w:t>Qual o estado geral do paciente</w:t>
      </w:r>
      <w:r w:rsidRPr="009B6F70">
        <w:rPr>
          <w:i/>
        </w:rPr>
        <w:t>?</w:t>
      </w:r>
    </w:p>
    <w:p w:rsidR="003D7302" w:rsidRDefault="003D7302" w:rsidP="006628EC">
      <w:pPr>
        <w:pStyle w:val="ListParagraph"/>
        <w:numPr>
          <w:ilvl w:val="0"/>
          <w:numId w:val="27"/>
        </w:numPr>
        <w:spacing w:line="360" w:lineRule="auto"/>
      </w:pPr>
      <w:r>
        <w:t>Ele apresenta alguma outra comorbidade, como alterações cardíacas?</w:t>
      </w:r>
    </w:p>
    <w:p w:rsidR="003D7302" w:rsidRDefault="003D7302" w:rsidP="006628EC">
      <w:pPr>
        <w:pStyle w:val="ListParagraph"/>
        <w:numPr>
          <w:ilvl w:val="0"/>
          <w:numId w:val="27"/>
        </w:numPr>
        <w:spacing w:line="360" w:lineRule="auto"/>
      </w:pPr>
      <w:r>
        <w:t>Qual o tipo histológico do câncer de pulmão?</w:t>
      </w:r>
    </w:p>
    <w:p w:rsidR="003D7302" w:rsidRDefault="003D7302" w:rsidP="006628EC">
      <w:pPr>
        <w:pStyle w:val="ListParagraph"/>
        <w:numPr>
          <w:ilvl w:val="0"/>
          <w:numId w:val="27"/>
        </w:numPr>
        <w:spacing w:line="360" w:lineRule="auto"/>
      </w:pPr>
      <w:r>
        <w:t xml:space="preserve">Qual foi o resultado do exame para a mutação do EGFR? </w:t>
      </w:r>
    </w:p>
    <w:p w:rsidR="003D7302" w:rsidRDefault="003D7302" w:rsidP="006628EC">
      <w:pPr>
        <w:pStyle w:val="ListParagraph"/>
        <w:numPr>
          <w:ilvl w:val="0"/>
          <w:numId w:val="27"/>
        </w:numPr>
        <w:spacing w:line="360" w:lineRule="auto"/>
      </w:pPr>
      <w:r>
        <w:t>O paciente apresenta algum grau de aderência pleural?</w:t>
      </w:r>
    </w:p>
    <w:p w:rsidR="003D7302" w:rsidRDefault="003D7302" w:rsidP="006628EC">
      <w:pPr>
        <w:pStyle w:val="ListParagraph"/>
        <w:numPr>
          <w:ilvl w:val="0"/>
          <w:numId w:val="27"/>
        </w:numPr>
        <w:spacing w:line="360" w:lineRule="auto"/>
      </w:pPr>
      <w:r>
        <w:t>O paciente é ou era tabagista?</w:t>
      </w:r>
    </w:p>
    <w:p w:rsidR="003D7302" w:rsidRDefault="003D7302" w:rsidP="007B5497">
      <w:pPr>
        <w:pStyle w:val="Heading2"/>
        <w:numPr>
          <w:ilvl w:val="0"/>
          <w:numId w:val="0"/>
        </w:numPr>
      </w:pPr>
      <w:bookmarkStart w:id="6" w:name="_Toc245422129"/>
      <w:r w:rsidRPr="00C24804">
        <w:t>2.3 Contexto</w:t>
      </w:r>
      <w:bookmarkEnd w:id="6"/>
    </w:p>
    <w:p w:rsidR="003D7302" w:rsidRPr="0076785B" w:rsidRDefault="003D7302" w:rsidP="006628EC">
      <w:pPr>
        <w:shd w:val="clear" w:color="auto" w:fill="FFFFFF"/>
        <w:overflowPunct/>
        <w:autoSpaceDE/>
        <w:autoSpaceDN/>
        <w:adjustRightInd/>
        <w:spacing w:line="360" w:lineRule="auto"/>
        <w:jc w:val="both"/>
        <w:textAlignment w:val="auto"/>
        <w:rPr>
          <w:rFonts w:cs="Arial"/>
          <w:color w:val="333333"/>
          <w:szCs w:val="24"/>
        </w:rPr>
      </w:pPr>
      <w:r w:rsidRPr="006628EC">
        <w:rPr>
          <w:rFonts w:cs="Arial"/>
          <w:color w:val="333333"/>
          <w:szCs w:val="24"/>
        </w:rPr>
        <w:t>O câncer de pulmão é</w:t>
      </w:r>
      <w:r w:rsidRPr="0076785B">
        <w:rPr>
          <w:rFonts w:cs="Arial"/>
          <w:color w:val="333333"/>
          <w:szCs w:val="24"/>
        </w:rPr>
        <w:t xml:space="preserve"> o mais comum de todos os tumores malignos, apresentando aumento de 2% por ano na sua incidência mundial. Em 90% dos casos diagnosticados, o câncer de pulmão está associado ao consumo de derivados de tabaco. No Brasil, foi responsável por </w:t>
      </w:r>
      <w:r>
        <w:rPr>
          <w:rFonts w:cs="Arial"/>
          <w:color w:val="333333"/>
          <w:szCs w:val="24"/>
        </w:rPr>
        <w:t>21.069</w:t>
      </w:r>
      <w:r w:rsidRPr="0076785B">
        <w:rPr>
          <w:rFonts w:cs="Arial"/>
          <w:color w:val="333333"/>
          <w:szCs w:val="24"/>
        </w:rPr>
        <w:t xml:space="preserve"> mortes em 200</w:t>
      </w:r>
      <w:r>
        <w:rPr>
          <w:rFonts w:cs="Arial"/>
          <w:color w:val="333333"/>
          <w:szCs w:val="24"/>
        </w:rPr>
        <w:t>9</w:t>
      </w:r>
      <w:r w:rsidRPr="0076785B">
        <w:rPr>
          <w:rFonts w:cs="Arial"/>
          <w:color w:val="333333"/>
          <w:szCs w:val="24"/>
        </w:rPr>
        <w:t>, sendo o tipo que mais fez vítimas. Altamente letal, a sobrevida média cumulativa total em cinco anos varia entre 13</w:t>
      </w:r>
      <w:r>
        <w:rPr>
          <w:rFonts w:cs="Arial"/>
          <w:color w:val="333333"/>
          <w:szCs w:val="24"/>
        </w:rPr>
        <w:t>%</w:t>
      </w:r>
      <w:r w:rsidRPr="0076785B">
        <w:rPr>
          <w:rFonts w:cs="Arial"/>
          <w:color w:val="333333"/>
          <w:szCs w:val="24"/>
        </w:rPr>
        <w:t xml:space="preserve"> e 21% em países desenvolvidos e entre 7</w:t>
      </w:r>
      <w:r>
        <w:rPr>
          <w:rFonts w:cs="Arial"/>
          <w:color w:val="333333"/>
          <w:szCs w:val="24"/>
        </w:rPr>
        <w:t>%</w:t>
      </w:r>
      <w:r w:rsidRPr="0076785B">
        <w:rPr>
          <w:rFonts w:cs="Arial"/>
          <w:color w:val="333333"/>
          <w:szCs w:val="24"/>
        </w:rPr>
        <w:t xml:space="preserve"> e 10% nos países em desenvolvimento. No fim do </w:t>
      </w:r>
      <w:r>
        <w:rPr>
          <w:rFonts w:cs="Arial"/>
          <w:color w:val="333333"/>
          <w:szCs w:val="24"/>
        </w:rPr>
        <w:t>século XX, o câncer de pulmão</w:t>
      </w:r>
      <w:r w:rsidRPr="0076785B">
        <w:rPr>
          <w:rFonts w:cs="Arial"/>
          <w:color w:val="333333"/>
          <w:szCs w:val="24"/>
        </w:rPr>
        <w:t xml:space="preserve"> tornou</w:t>
      </w:r>
      <w:r>
        <w:rPr>
          <w:rFonts w:cs="Arial"/>
          <w:color w:val="333333"/>
          <w:szCs w:val="24"/>
        </w:rPr>
        <w:t>-se</w:t>
      </w:r>
      <w:r w:rsidRPr="0076785B">
        <w:rPr>
          <w:rFonts w:cs="Arial"/>
          <w:color w:val="333333"/>
          <w:szCs w:val="24"/>
        </w:rPr>
        <w:t xml:space="preserve"> uma das principais causas de morte evitáveis.</w:t>
      </w:r>
    </w:p>
    <w:p w:rsidR="003D7302" w:rsidRPr="0076785B" w:rsidRDefault="003D7302" w:rsidP="006628EC">
      <w:pPr>
        <w:shd w:val="clear" w:color="auto" w:fill="FFFFFF"/>
        <w:overflowPunct/>
        <w:autoSpaceDE/>
        <w:autoSpaceDN/>
        <w:adjustRightInd/>
        <w:spacing w:line="360" w:lineRule="auto"/>
        <w:jc w:val="both"/>
        <w:textAlignment w:val="auto"/>
        <w:rPr>
          <w:rFonts w:cs="Arial"/>
          <w:color w:val="333333"/>
          <w:szCs w:val="24"/>
        </w:rPr>
      </w:pPr>
      <w:r w:rsidRPr="00B56C40">
        <w:rPr>
          <w:rFonts w:cs="Arial"/>
          <w:bCs/>
          <w:szCs w:val="24"/>
        </w:rPr>
        <w:t>A estimativa de novos casos no Brasil em 2012 é de</w:t>
      </w:r>
      <w:r w:rsidRPr="00B56C40">
        <w:rPr>
          <w:rFonts w:cs="Arial"/>
          <w:szCs w:val="24"/>
        </w:rPr>
        <w:t> </w:t>
      </w:r>
      <w:r w:rsidRPr="0076785B">
        <w:rPr>
          <w:rFonts w:cs="Arial"/>
          <w:szCs w:val="24"/>
        </w:rPr>
        <w:t>27.320, sendo 1</w:t>
      </w:r>
      <w:r w:rsidRPr="00B56C40">
        <w:rPr>
          <w:rFonts w:cs="Arial"/>
          <w:szCs w:val="24"/>
        </w:rPr>
        <w:t>7.210 homens e 10.110, mulheres</w:t>
      </w:r>
      <w:r>
        <w:rPr>
          <w:rFonts w:cs="Arial"/>
          <w:color w:val="333333"/>
          <w:szCs w:val="24"/>
        </w:rPr>
        <w:t>.</w:t>
      </w:r>
      <w:r w:rsidRPr="00A51A90">
        <w:rPr>
          <w:rFonts w:cs="Arial"/>
          <w:color w:val="333333"/>
          <w:szCs w:val="24"/>
          <w:vertAlign w:val="superscript"/>
        </w:rPr>
        <w:t>1</w:t>
      </w:r>
    </w:p>
    <w:p w:rsidR="003D7302" w:rsidRPr="006628EC" w:rsidRDefault="003D7302" w:rsidP="006628EC">
      <w:pPr>
        <w:shd w:val="clear" w:color="auto" w:fill="FFFFFF"/>
        <w:overflowPunct/>
        <w:autoSpaceDE/>
        <w:autoSpaceDN/>
        <w:adjustRightInd/>
        <w:spacing w:line="360" w:lineRule="auto"/>
        <w:jc w:val="both"/>
        <w:textAlignment w:val="auto"/>
        <w:rPr>
          <w:rFonts w:cs="Arial"/>
          <w:color w:val="333333"/>
          <w:szCs w:val="24"/>
        </w:rPr>
      </w:pPr>
    </w:p>
    <w:p w:rsidR="003D7302" w:rsidRPr="00EB586D" w:rsidRDefault="003D7302" w:rsidP="005A52E5">
      <w:pPr>
        <w:shd w:val="clear" w:color="auto" w:fill="FFFFFF"/>
        <w:overflowPunct/>
        <w:autoSpaceDE/>
        <w:autoSpaceDN/>
        <w:adjustRightInd/>
        <w:spacing w:line="360" w:lineRule="auto"/>
        <w:jc w:val="both"/>
        <w:textAlignment w:val="auto"/>
        <w:rPr>
          <w:rFonts w:cs="Arial"/>
          <w:szCs w:val="24"/>
        </w:rPr>
      </w:pPr>
      <w:r w:rsidRPr="00EB586D">
        <w:rPr>
          <w:rFonts w:cs="Arial"/>
          <w:szCs w:val="24"/>
        </w:rPr>
        <w:t xml:space="preserve">O câncer de pulmão apresenta duas formas histológicas mais frequentes: </w:t>
      </w:r>
      <w:r>
        <w:rPr>
          <w:rFonts w:cs="Arial"/>
          <w:szCs w:val="24"/>
        </w:rPr>
        <w:t xml:space="preserve">o </w:t>
      </w:r>
      <w:r w:rsidRPr="00EB586D">
        <w:rPr>
          <w:rFonts w:cs="Arial"/>
          <w:szCs w:val="24"/>
        </w:rPr>
        <w:t xml:space="preserve">câncer </w:t>
      </w:r>
      <w:r>
        <w:rPr>
          <w:rFonts w:cs="Arial"/>
          <w:szCs w:val="24"/>
        </w:rPr>
        <w:t xml:space="preserve">de pulmão </w:t>
      </w:r>
      <w:r w:rsidRPr="00EB586D">
        <w:rPr>
          <w:rFonts w:cs="Arial"/>
          <w:szCs w:val="24"/>
        </w:rPr>
        <w:t xml:space="preserve">não pequenas células </w:t>
      </w:r>
      <w:r>
        <w:rPr>
          <w:rFonts w:cs="Arial"/>
          <w:szCs w:val="24"/>
        </w:rPr>
        <w:t>(</w:t>
      </w:r>
      <w:r w:rsidRPr="00EB586D">
        <w:rPr>
          <w:rFonts w:cs="Arial"/>
          <w:szCs w:val="24"/>
        </w:rPr>
        <w:t>CPNPC</w:t>
      </w:r>
      <w:r>
        <w:rPr>
          <w:rFonts w:cs="Arial"/>
          <w:szCs w:val="24"/>
        </w:rPr>
        <w:t>) responsável por 80% dos casos</w:t>
      </w:r>
      <w:r w:rsidRPr="00EB586D">
        <w:rPr>
          <w:rFonts w:cs="Arial"/>
          <w:szCs w:val="24"/>
        </w:rPr>
        <w:t xml:space="preserve"> e </w:t>
      </w:r>
      <w:r>
        <w:rPr>
          <w:rFonts w:cs="Arial"/>
          <w:szCs w:val="24"/>
        </w:rPr>
        <w:t xml:space="preserve">o </w:t>
      </w:r>
      <w:r w:rsidRPr="00EB586D">
        <w:rPr>
          <w:rFonts w:cs="Arial"/>
          <w:szCs w:val="24"/>
        </w:rPr>
        <w:t>câ</w:t>
      </w:r>
      <w:r>
        <w:rPr>
          <w:rFonts w:cs="Arial"/>
          <w:szCs w:val="24"/>
        </w:rPr>
        <w:t>ncer de pequenas células, diagnosticado em 20% dos casos</w:t>
      </w:r>
      <w:r w:rsidRPr="00EB586D">
        <w:rPr>
          <w:rFonts w:cs="Arial"/>
          <w:szCs w:val="24"/>
        </w:rPr>
        <w:t>. No grupo pequenas células, o mais frequente é o carcinoma de células escamosas(45%), seguido pelo adenocarcinoma (45%) e</w:t>
      </w:r>
      <w:r>
        <w:rPr>
          <w:rFonts w:cs="Arial"/>
          <w:szCs w:val="24"/>
        </w:rPr>
        <w:t xml:space="preserve"> câncer de</w:t>
      </w:r>
      <w:r w:rsidRPr="00EB586D">
        <w:rPr>
          <w:rFonts w:cs="Arial"/>
          <w:szCs w:val="24"/>
        </w:rPr>
        <w:t xml:space="preserve"> grandes células (10%). Essas categorias apresentam prognóstico e resposta a</w:t>
      </w:r>
      <w:r>
        <w:rPr>
          <w:rFonts w:cs="Arial"/>
          <w:szCs w:val="24"/>
        </w:rPr>
        <w:t>o</w:t>
      </w:r>
      <w:r w:rsidRPr="00EB586D">
        <w:rPr>
          <w:rFonts w:cs="Arial"/>
          <w:szCs w:val="24"/>
        </w:rPr>
        <w:t xml:space="preserve"> tratamento diferentes.</w:t>
      </w:r>
    </w:p>
    <w:p w:rsidR="003D7302" w:rsidRPr="00EB586D" w:rsidRDefault="003D7302" w:rsidP="007228AB">
      <w:pPr>
        <w:shd w:val="clear" w:color="auto" w:fill="FFFFFF"/>
        <w:overflowPunct/>
        <w:autoSpaceDE/>
        <w:autoSpaceDN/>
        <w:adjustRightInd/>
        <w:spacing w:line="360" w:lineRule="auto"/>
        <w:jc w:val="both"/>
        <w:textAlignment w:val="auto"/>
        <w:rPr>
          <w:rFonts w:cs="Arial"/>
          <w:szCs w:val="24"/>
        </w:rPr>
      </w:pPr>
      <w:r>
        <w:rPr>
          <w:rFonts w:cs="Arial"/>
          <w:szCs w:val="24"/>
        </w:rPr>
        <w:t xml:space="preserve">O câncer de pulmão avança de forma pouco sintomática no início e é comum que o diagnóstico seja feito já em estagio avançado da doença: </w:t>
      </w:r>
      <w:r w:rsidRPr="00EB586D">
        <w:rPr>
          <w:rFonts w:cs="Arial"/>
          <w:szCs w:val="24"/>
        </w:rPr>
        <w:t>30% dos</w:t>
      </w:r>
      <w:r>
        <w:rPr>
          <w:rFonts w:cs="Arial"/>
          <w:szCs w:val="24"/>
        </w:rPr>
        <w:t xml:space="preserve"> pacientes já se encontra</w:t>
      </w:r>
      <w:r w:rsidRPr="00EB586D">
        <w:rPr>
          <w:rFonts w:cs="Arial"/>
          <w:szCs w:val="24"/>
        </w:rPr>
        <w:t xml:space="preserve"> com doença localmente avançada (estadioIIIb) e 40% com doença avançada (estadio IV com metástases à distância).A cirurgia é a alternativa com alguma possibilidade de cura, mas a maioria dos pacientes não tem possibilidade cirúrgica já ao diagnóstico. </w:t>
      </w:r>
    </w:p>
    <w:p w:rsidR="003D7302" w:rsidRPr="00EB586D" w:rsidRDefault="003D7302" w:rsidP="005A52E5">
      <w:pPr>
        <w:shd w:val="clear" w:color="auto" w:fill="FFFFFF"/>
        <w:overflowPunct/>
        <w:autoSpaceDE/>
        <w:autoSpaceDN/>
        <w:adjustRightInd/>
        <w:spacing w:line="360" w:lineRule="auto"/>
        <w:jc w:val="both"/>
        <w:textAlignment w:val="auto"/>
        <w:rPr>
          <w:rFonts w:cs="Arial"/>
          <w:szCs w:val="24"/>
        </w:rPr>
      </w:pPr>
      <w:r w:rsidRPr="00EB586D">
        <w:rPr>
          <w:rFonts w:cs="Arial"/>
          <w:szCs w:val="24"/>
        </w:rPr>
        <w:t>O prognóstico para pacientes com CPNPC</w:t>
      </w:r>
      <w:r>
        <w:rPr>
          <w:rFonts w:cs="Arial"/>
          <w:szCs w:val="24"/>
        </w:rPr>
        <w:t>, o tipo mais frequente,</w:t>
      </w:r>
      <w:r w:rsidRPr="00EB586D">
        <w:rPr>
          <w:rFonts w:cs="Arial"/>
          <w:szCs w:val="24"/>
        </w:rPr>
        <w:t xml:space="preserve"> é pobre, com mediana de sobrevida de 6 meses a partir do diagnóstico e sobrevida de um ano de apenas 20% dos pacientes. </w:t>
      </w:r>
    </w:p>
    <w:p w:rsidR="003D7302" w:rsidRDefault="003D7302" w:rsidP="0081136E">
      <w:pPr>
        <w:spacing w:line="360" w:lineRule="auto"/>
        <w:jc w:val="both"/>
        <w:rPr>
          <w:rFonts w:cs="Arial"/>
          <w:szCs w:val="24"/>
        </w:rPr>
      </w:pPr>
      <w:r w:rsidRPr="00EB586D">
        <w:rPr>
          <w:rFonts w:cs="Arial"/>
          <w:szCs w:val="24"/>
        </w:rPr>
        <w:t xml:space="preserve">Para os pacientes sem possibilidade de cura, o objetivo da terapia é prolongar a sobrevida e melhorar a qualidade de vida. O tratamento pode incluir radioterapia e cuidados suportivos, com ou sem quimioterapia. A quimioterapia pode ser oferecida para pacientes em estadio III ou IV de CPNPC e </w:t>
      </w:r>
      <w:r>
        <w:rPr>
          <w:rFonts w:cs="Arial"/>
          <w:szCs w:val="24"/>
        </w:rPr>
        <w:t xml:space="preserve">que tenham pouco comprometimento do estado geral devido à doença – medida como </w:t>
      </w:r>
      <w:r w:rsidRPr="00EB586D">
        <w:rPr>
          <w:rFonts w:cs="Arial"/>
          <w:i/>
          <w:szCs w:val="24"/>
        </w:rPr>
        <w:t>performance status</w:t>
      </w:r>
      <w:r w:rsidRPr="00EB586D">
        <w:rPr>
          <w:rFonts w:cs="Arial"/>
          <w:szCs w:val="24"/>
        </w:rPr>
        <w:t xml:space="preserve">. A primeira linha de quimioterapia pode ser um derivado da platina (carboplatina ou cisplatina) em combinação com gemcitabina, docetaxel, paclitaxel ou vinorelbina. </w:t>
      </w:r>
      <w:r w:rsidRPr="00A652BE">
        <w:rPr>
          <w:rFonts w:cs="Arial"/>
          <w:szCs w:val="24"/>
          <w:vertAlign w:val="superscript"/>
        </w:rPr>
        <w:t>2</w:t>
      </w:r>
    </w:p>
    <w:p w:rsidR="003D7302" w:rsidRDefault="003D7302" w:rsidP="007B5497">
      <w:pPr>
        <w:spacing w:line="360" w:lineRule="auto"/>
        <w:jc w:val="both"/>
        <w:rPr>
          <w:rFonts w:ascii="Calibri" w:hAnsi="Calibri" w:cs="Calibri"/>
          <w:sz w:val="22"/>
          <w:szCs w:val="22"/>
        </w:rPr>
      </w:pPr>
    </w:p>
    <w:p w:rsidR="003D7302" w:rsidRPr="00C35ECD" w:rsidRDefault="003D7302" w:rsidP="007B5497">
      <w:pPr>
        <w:pStyle w:val="Heading2"/>
        <w:numPr>
          <w:ilvl w:val="0"/>
          <w:numId w:val="0"/>
        </w:numPr>
      </w:pPr>
      <w:bookmarkStart w:id="7" w:name="_Toc245422130"/>
      <w:r>
        <w:t xml:space="preserve">2.4 </w:t>
      </w:r>
      <w:r w:rsidRPr="00C35ECD">
        <w:t>Descrição da tecnologia a ser avaliada</w:t>
      </w:r>
      <w:bookmarkEnd w:id="7"/>
    </w:p>
    <w:p w:rsidR="003D7302" w:rsidRPr="003A3761" w:rsidRDefault="003D7302" w:rsidP="00135D42">
      <w:pPr>
        <w:rPr>
          <w:rFonts w:cs="Arial"/>
          <w:b/>
          <w:szCs w:val="24"/>
        </w:rPr>
      </w:pPr>
      <w:r>
        <w:rPr>
          <w:rFonts w:cs="Arial"/>
          <w:b/>
          <w:szCs w:val="24"/>
        </w:rPr>
        <w:t>Nome químico do medicamento: gefitinibe</w:t>
      </w:r>
    </w:p>
    <w:p w:rsidR="003D7302" w:rsidRDefault="003D7302" w:rsidP="00135D42">
      <w:pPr>
        <w:rPr>
          <w:rFonts w:cs="Arial"/>
          <w:b/>
          <w:szCs w:val="24"/>
        </w:rPr>
      </w:pPr>
    </w:p>
    <w:p w:rsidR="003D7302" w:rsidRPr="003A3761" w:rsidRDefault="003D7302" w:rsidP="00135D42">
      <w:pPr>
        <w:rPr>
          <w:rFonts w:cs="Arial"/>
          <w:b/>
          <w:szCs w:val="24"/>
        </w:rPr>
      </w:pPr>
      <w:r w:rsidRPr="003A3761">
        <w:rPr>
          <w:rFonts w:cs="Arial"/>
          <w:b/>
          <w:szCs w:val="24"/>
        </w:rPr>
        <w:t xml:space="preserve">Nome comercial: </w:t>
      </w:r>
      <w:r>
        <w:rPr>
          <w:rFonts w:cs="Arial"/>
          <w:b/>
          <w:szCs w:val="24"/>
        </w:rPr>
        <w:t>Iressa</w:t>
      </w:r>
      <w:r w:rsidRPr="003A3761">
        <w:rPr>
          <w:rFonts w:cs="Arial"/>
          <w:b/>
          <w:szCs w:val="24"/>
        </w:rPr>
        <w:t xml:space="preserve"> ®</w:t>
      </w:r>
    </w:p>
    <w:p w:rsidR="003D7302" w:rsidRPr="003A3761" w:rsidRDefault="003D7302" w:rsidP="00135D42">
      <w:pPr>
        <w:rPr>
          <w:rFonts w:cs="Arial"/>
          <w:b/>
          <w:szCs w:val="24"/>
        </w:rPr>
      </w:pPr>
    </w:p>
    <w:p w:rsidR="003D7302" w:rsidRDefault="003D7302" w:rsidP="00135D42">
      <w:pPr>
        <w:rPr>
          <w:rFonts w:cs="Arial"/>
          <w:szCs w:val="24"/>
        </w:rPr>
      </w:pPr>
      <w:r w:rsidRPr="003A3761">
        <w:rPr>
          <w:rFonts w:cs="Arial"/>
          <w:b/>
          <w:szCs w:val="24"/>
        </w:rPr>
        <w:t xml:space="preserve">Fabricante: </w:t>
      </w:r>
      <w:r>
        <w:rPr>
          <w:rFonts w:cs="Arial"/>
          <w:szCs w:val="24"/>
        </w:rPr>
        <w:t>AstraZenica</w:t>
      </w:r>
      <w:r w:rsidRPr="003A3761">
        <w:rPr>
          <w:rFonts w:cs="Arial"/>
          <w:szCs w:val="24"/>
        </w:rPr>
        <w:t>.</w:t>
      </w:r>
    </w:p>
    <w:p w:rsidR="003D7302" w:rsidRPr="003A3761" w:rsidRDefault="003D7302" w:rsidP="00135D42">
      <w:pPr>
        <w:rPr>
          <w:rFonts w:cs="Arial"/>
          <w:b/>
          <w:szCs w:val="24"/>
        </w:rPr>
      </w:pPr>
    </w:p>
    <w:p w:rsidR="003D7302" w:rsidRDefault="003D7302" w:rsidP="00544EE0">
      <w:pPr>
        <w:overflowPunct/>
        <w:spacing w:line="360" w:lineRule="auto"/>
        <w:jc w:val="both"/>
        <w:textAlignment w:val="auto"/>
        <w:rPr>
          <w:rFonts w:cs="Arial"/>
          <w:szCs w:val="24"/>
        </w:rPr>
      </w:pPr>
      <w:r>
        <w:rPr>
          <w:rFonts w:cs="Arial"/>
          <w:b/>
          <w:bCs/>
          <w:szCs w:val="24"/>
        </w:rPr>
        <w:t xml:space="preserve">Registro na ANVISA e </w:t>
      </w:r>
      <w:r w:rsidRPr="003A3761">
        <w:rPr>
          <w:rFonts w:cs="Arial"/>
          <w:b/>
          <w:bCs/>
          <w:szCs w:val="24"/>
        </w:rPr>
        <w:t>Indicações de Bula</w:t>
      </w:r>
      <w:r>
        <w:rPr>
          <w:rFonts w:cs="Arial"/>
          <w:b/>
          <w:bCs/>
          <w:szCs w:val="24"/>
        </w:rPr>
        <w:t xml:space="preserve"> (Anexo 1)</w:t>
      </w:r>
    </w:p>
    <w:p w:rsidR="003D7302" w:rsidRDefault="003D7302" w:rsidP="00E40837">
      <w:pPr>
        <w:spacing w:line="360" w:lineRule="auto"/>
        <w:jc w:val="both"/>
        <w:rPr>
          <w:rFonts w:cs="Arial"/>
          <w:szCs w:val="24"/>
        </w:rPr>
      </w:pPr>
      <w:r>
        <w:rPr>
          <w:rFonts w:cs="Arial"/>
          <w:szCs w:val="24"/>
        </w:rPr>
        <w:t xml:space="preserve">Gefitinibe (Iressa®) inibe a fosforilação intracelular de tirosinaquinase associada a receptores de membrana celular, inclusive o receptor do fator de crescimento epidérmico (EGFR). Esse EGFR é expresso na superfície de muitas células normais e também nas células neoplásicas. </w:t>
      </w:r>
    </w:p>
    <w:p w:rsidR="003D7302" w:rsidRDefault="003D7302" w:rsidP="00E40837">
      <w:pPr>
        <w:spacing w:line="360" w:lineRule="auto"/>
        <w:jc w:val="both"/>
        <w:rPr>
          <w:rFonts w:cs="Arial"/>
          <w:szCs w:val="24"/>
        </w:rPr>
      </w:pPr>
      <w:r>
        <w:rPr>
          <w:rFonts w:cs="Arial"/>
          <w:szCs w:val="24"/>
        </w:rPr>
        <w:t>O gefitinibe foi aprovado pelo FDA para tratamento de câncer de pulmão em 2003, com o compromisso do fabricante de complementar estudos para confirmar seus benefícios. Entretanto, estudos subsequentes não mostraram ganho em sobrevida para a população tratada, nem mesmo quando associado à quimioterapia. Com esses resultados, sua licença foi cancelada nos EUA em 2012.</w:t>
      </w:r>
    </w:p>
    <w:p w:rsidR="003D7302" w:rsidRPr="00E40837" w:rsidRDefault="003D7302" w:rsidP="00E40837">
      <w:pPr>
        <w:spacing w:line="360" w:lineRule="auto"/>
        <w:jc w:val="both"/>
        <w:rPr>
          <w:rFonts w:cs="Arial"/>
          <w:szCs w:val="24"/>
        </w:rPr>
      </w:pPr>
      <w:r>
        <w:rPr>
          <w:rFonts w:cs="Arial"/>
          <w:szCs w:val="24"/>
        </w:rPr>
        <w:t>Não está disponível no sistema de saúde do Canadá</w:t>
      </w:r>
      <w:r w:rsidRPr="00BD5A1E">
        <w:rPr>
          <w:rFonts w:cs="Arial"/>
          <w:szCs w:val="24"/>
          <w:vertAlign w:val="superscript"/>
        </w:rPr>
        <w:t>3</w:t>
      </w:r>
      <w:r>
        <w:rPr>
          <w:rFonts w:cs="Arial"/>
          <w:szCs w:val="24"/>
        </w:rPr>
        <w:t>;no Reino Unido tem indicação para câncer de pulmão não pequenas células metastático em pacientes com mutação de EGFR.</w:t>
      </w:r>
      <w:r w:rsidRPr="00FE6E2A">
        <w:rPr>
          <w:rFonts w:cs="Arial"/>
          <w:szCs w:val="24"/>
          <w:vertAlign w:val="superscript"/>
        </w:rPr>
        <w:t>2</w:t>
      </w:r>
      <w:r>
        <w:rPr>
          <w:rFonts w:cs="Arial"/>
          <w:szCs w:val="24"/>
        </w:rPr>
        <w:t xml:space="preserve"> No Brasil, o registro para o Iressa® foi negado em 2003 e só aceito em julho de 2010.</w:t>
      </w:r>
    </w:p>
    <w:p w:rsidR="003D7302" w:rsidRPr="005D6E37" w:rsidRDefault="003D7302" w:rsidP="00544EE0">
      <w:pPr>
        <w:pStyle w:val="Heading2"/>
        <w:numPr>
          <w:ilvl w:val="0"/>
          <w:numId w:val="0"/>
        </w:numPr>
        <w:rPr>
          <w:smallCaps w:val="0"/>
          <w:sz w:val="24"/>
          <w:szCs w:val="24"/>
        </w:rPr>
      </w:pPr>
      <w:bookmarkStart w:id="8" w:name="_Toc245422131"/>
      <w:r>
        <w:rPr>
          <w:smallCaps w:val="0"/>
          <w:sz w:val="24"/>
          <w:szCs w:val="24"/>
        </w:rPr>
        <w:t>D</w:t>
      </w:r>
      <w:r w:rsidRPr="005D6E37">
        <w:rPr>
          <w:smallCaps w:val="0"/>
          <w:sz w:val="24"/>
          <w:szCs w:val="24"/>
        </w:rPr>
        <w:t xml:space="preserve">isponibilidade no </w:t>
      </w:r>
      <w:r>
        <w:rPr>
          <w:smallCaps w:val="0"/>
          <w:sz w:val="24"/>
          <w:szCs w:val="24"/>
        </w:rPr>
        <w:t>SUS</w:t>
      </w:r>
      <w:bookmarkEnd w:id="8"/>
    </w:p>
    <w:p w:rsidR="003D7302" w:rsidRPr="002312F2" w:rsidRDefault="003D7302" w:rsidP="002312F2">
      <w:r>
        <w:t>Não</w:t>
      </w:r>
    </w:p>
    <w:p w:rsidR="003D7302" w:rsidRPr="00571543" w:rsidRDefault="003D7302" w:rsidP="00571543"/>
    <w:p w:rsidR="003D7302" w:rsidRPr="003A3761" w:rsidRDefault="003D7302" w:rsidP="003A409D">
      <w:pPr>
        <w:spacing w:line="360" w:lineRule="auto"/>
        <w:jc w:val="both"/>
        <w:rPr>
          <w:rFonts w:cs="Arial"/>
          <w:b/>
          <w:bCs/>
          <w:szCs w:val="24"/>
        </w:rPr>
      </w:pPr>
      <w:r w:rsidRPr="003A3761">
        <w:rPr>
          <w:rFonts w:cs="Arial"/>
          <w:b/>
          <w:bCs/>
          <w:szCs w:val="24"/>
        </w:rPr>
        <w:t xml:space="preserve">Existe diretriz de utilização no SUS? </w:t>
      </w:r>
    </w:p>
    <w:p w:rsidR="003D7302" w:rsidRPr="0076785B" w:rsidRDefault="003D7302" w:rsidP="003A409D">
      <w:pPr>
        <w:spacing w:line="360" w:lineRule="auto"/>
        <w:jc w:val="both"/>
        <w:rPr>
          <w:rFonts w:cs="Arial"/>
          <w:bCs/>
          <w:szCs w:val="24"/>
        </w:rPr>
      </w:pPr>
      <w:r>
        <w:rPr>
          <w:rFonts w:cs="Arial"/>
          <w:bCs/>
          <w:szCs w:val="24"/>
        </w:rPr>
        <w:t>Não</w:t>
      </w:r>
    </w:p>
    <w:p w:rsidR="003D7302" w:rsidRDefault="003D7302" w:rsidP="003A409D">
      <w:pPr>
        <w:spacing w:line="360" w:lineRule="auto"/>
        <w:jc w:val="both"/>
        <w:rPr>
          <w:rStyle w:val="Heading2Char"/>
        </w:rPr>
      </w:pPr>
    </w:p>
    <w:p w:rsidR="003D7302" w:rsidRDefault="003D7302" w:rsidP="003A409D">
      <w:pPr>
        <w:spacing w:line="360" w:lineRule="auto"/>
        <w:jc w:val="both"/>
        <w:rPr>
          <w:rFonts w:ascii="Calibri" w:hAnsi="Calibri" w:cs="Calibri"/>
          <w:sz w:val="22"/>
          <w:szCs w:val="22"/>
        </w:rPr>
      </w:pPr>
      <w:r>
        <w:rPr>
          <w:rStyle w:val="Heading2Char"/>
        </w:rPr>
        <w:t xml:space="preserve">2.6 </w:t>
      </w:r>
      <w:r w:rsidRPr="00435E23">
        <w:rPr>
          <w:rStyle w:val="Heading2Char"/>
        </w:rPr>
        <w:t>Preço do medicamento</w:t>
      </w:r>
      <w:r>
        <w:rPr>
          <w:rStyle w:val="FootnoteReference"/>
          <w:rFonts w:ascii="Calibri" w:hAnsi="Calibri" w:cs="Calibri"/>
          <w:b/>
          <w:sz w:val="22"/>
          <w:szCs w:val="22"/>
        </w:rPr>
        <w:footnoteReference w:id="2"/>
      </w:r>
      <w:r w:rsidRPr="003A409D">
        <w:rPr>
          <w:rFonts w:ascii="Calibri" w:hAnsi="Calibri" w:cs="Calibri"/>
          <w:sz w:val="22"/>
          <w:szCs w:val="22"/>
        </w:rPr>
        <w:t xml:space="preserve">: </w:t>
      </w:r>
    </w:p>
    <w:p w:rsidR="003D7302" w:rsidRDefault="003D7302" w:rsidP="003A409D">
      <w:pPr>
        <w:spacing w:line="360" w:lineRule="auto"/>
        <w:jc w:val="both"/>
        <w:rPr>
          <w:rFonts w:ascii="Calibri" w:hAnsi="Calibri" w:cs="Calibri"/>
          <w:sz w:val="22"/>
          <w:szCs w:val="22"/>
        </w:rPr>
      </w:pPr>
    </w:p>
    <w:p w:rsidR="003D7302" w:rsidRDefault="003D7302" w:rsidP="003A409D">
      <w:pPr>
        <w:spacing w:line="360" w:lineRule="auto"/>
        <w:jc w:val="both"/>
        <w:rPr>
          <w:rFonts w:cs="Arial"/>
          <w:szCs w:val="24"/>
        </w:rPr>
      </w:pPr>
      <w:r w:rsidRPr="00F0270D">
        <w:rPr>
          <w:rFonts w:cs="Arial"/>
          <w:b/>
          <w:szCs w:val="24"/>
        </w:rPr>
        <w:t>Iressa®</w:t>
      </w:r>
      <w:r w:rsidRPr="00F0270D">
        <w:rPr>
          <w:rFonts w:cs="Arial"/>
          <w:szCs w:val="24"/>
        </w:rPr>
        <w:t xml:space="preserve">caixa com 30 comp de 250 mg </w:t>
      </w:r>
      <w:r>
        <w:rPr>
          <w:rFonts w:cs="Arial"/>
          <w:szCs w:val="24"/>
        </w:rPr>
        <w:t xml:space="preserve">– </w:t>
      </w:r>
      <w:r>
        <w:rPr>
          <w:rFonts w:cs="Arial"/>
          <w:b/>
          <w:szCs w:val="24"/>
        </w:rPr>
        <w:t>R$4.530,17</w:t>
      </w:r>
      <w:r>
        <w:rPr>
          <w:rFonts w:cs="Arial"/>
          <w:szCs w:val="24"/>
        </w:rPr>
        <w:t>, sendo esse o custo mensal do tratamento que utiliza um comprimido ao dia.</w:t>
      </w:r>
    </w:p>
    <w:p w:rsidR="003D7302" w:rsidRDefault="003D7302" w:rsidP="003A409D">
      <w:pPr>
        <w:spacing w:line="360" w:lineRule="auto"/>
        <w:jc w:val="both"/>
        <w:rPr>
          <w:rFonts w:cs="Arial"/>
          <w:szCs w:val="24"/>
        </w:rPr>
      </w:pPr>
      <w:r>
        <w:rPr>
          <w:rFonts w:cs="Arial"/>
          <w:szCs w:val="24"/>
        </w:rPr>
        <w:t>Comparador: Docetaxel, dose 75 mg/m</w:t>
      </w:r>
      <w:r w:rsidRPr="008A0116">
        <w:rPr>
          <w:rFonts w:cs="Arial"/>
          <w:szCs w:val="24"/>
          <w:vertAlign w:val="superscript"/>
        </w:rPr>
        <w:t>2</w:t>
      </w:r>
      <w:r>
        <w:rPr>
          <w:rFonts w:cs="Arial"/>
          <w:szCs w:val="24"/>
        </w:rPr>
        <w:t>, durante um dia a cada 21 dias. Considerando um adulto de estatura média (</w:t>
      </w:r>
      <w:smartTag w:uri="urn:schemas-microsoft-com:office:smarttags" w:element="metricconverter">
        <w:smartTagPr>
          <w:attr w:name="ProductID" w:val="1,8 m2"/>
        </w:smartTagPr>
        <w:r>
          <w:rPr>
            <w:rFonts w:cs="Arial"/>
            <w:szCs w:val="24"/>
          </w:rPr>
          <w:t>1,8 m</w:t>
        </w:r>
        <w:r w:rsidRPr="008A0116">
          <w:rPr>
            <w:rFonts w:cs="Arial"/>
            <w:szCs w:val="24"/>
            <w:vertAlign w:val="superscript"/>
          </w:rPr>
          <w:t>2</w:t>
        </w:r>
      </w:smartTag>
      <w:r>
        <w:rPr>
          <w:rFonts w:cs="Arial"/>
          <w:szCs w:val="24"/>
        </w:rPr>
        <w:t xml:space="preserve">), o preço para cada ciclo de 21 dias será </w:t>
      </w:r>
      <w:r>
        <w:rPr>
          <w:rFonts w:cs="Arial"/>
          <w:b/>
          <w:szCs w:val="24"/>
        </w:rPr>
        <w:t>R$3.406,89.</w:t>
      </w:r>
    </w:p>
    <w:p w:rsidR="003D7302" w:rsidRDefault="003D7302" w:rsidP="003A409D">
      <w:pPr>
        <w:spacing w:line="360" w:lineRule="auto"/>
        <w:jc w:val="both"/>
        <w:rPr>
          <w:rFonts w:cs="Arial"/>
          <w:szCs w:val="24"/>
        </w:rPr>
      </w:pPr>
    </w:p>
    <w:p w:rsidR="003D7302" w:rsidRPr="00F0270D" w:rsidRDefault="003D7302" w:rsidP="003A409D">
      <w:pPr>
        <w:spacing w:line="360" w:lineRule="auto"/>
        <w:jc w:val="both"/>
        <w:rPr>
          <w:rFonts w:cs="Arial"/>
          <w:szCs w:val="24"/>
        </w:rPr>
      </w:pPr>
    </w:p>
    <w:p w:rsidR="003D7302" w:rsidRPr="003A3761" w:rsidRDefault="003D7302" w:rsidP="003A409D">
      <w:pPr>
        <w:spacing w:line="360" w:lineRule="auto"/>
        <w:jc w:val="both"/>
        <w:rPr>
          <w:rFonts w:cs="Arial"/>
          <w:b/>
          <w:szCs w:val="24"/>
        </w:rPr>
      </w:pPr>
    </w:p>
    <w:p w:rsidR="003D7302" w:rsidRDefault="003D7302" w:rsidP="008D1F56">
      <w:pPr>
        <w:pStyle w:val="Heading1"/>
        <w:numPr>
          <w:ilvl w:val="0"/>
          <w:numId w:val="0"/>
        </w:numPr>
      </w:pPr>
      <w:bookmarkStart w:id="9" w:name="_Toc245422132"/>
      <w:r>
        <w:t>3. Resultados da Revisão da literatura</w:t>
      </w:r>
      <w:bookmarkEnd w:id="9"/>
    </w:p>
    <w:p w:rsidR="003D7302" w:rsidRPr="00E8574B" w:rsidRDefault="003D7302" w:rsidP="00193A73">
      <w:pPr>
        <w:spacing w:line="360" w:lineRule="auto"/>
        <w:jc w:val="both"/>
        <w:rPr>
          <w:vertAlign w:val="superscript"/>
        </w:rPr>
      </w:pPr>
      <w:bookmarkStart w:id="10" w:name="top"/>
      <w:bookmarkEnd w:id="10"/>
      <w:r>
        <w:t>A quimioterapia tem pouco efeito sobre o CPNPC, em qualquer estágio da doença. Uma metanálise mostrou que a quimioterapia aumentou a sobrevida em 4% dos pacientes, ao longo de três anos de tratamento, à custa de graves efeitos adversos em dois terços desses pacientes. Em pacientes que apresentam metástases, a sobrevida mediana com quimioterapia aumentou dois meses.</w:t>
      </w:r>
      <w:r w:rsidRPr="007E5AA9">
        <w:rPr>
          <w:vertAlign w:val="superscript"/>
        </w:rPr>
        <w:t>4</w:t>
      </w:r>
    </w:p>
    <w:p w:rsidR="003D7302" w:rsidRDefault="003D7302" w:rsidP="00795100">
      <w:pPr>
        <w:spacing w:line="360" w:lineRule="auto"/>
        <w:jc w:val="both"/>
        <w:rPr>
          <w:rFonts w:cs="Arial"/>
          <w:szCs w:val="24"/>
        </w:rPr>
      </w:pPr>
      <w:r>
        <w:rPr>
          <w:rFonts w:cs="Arial"/>
          <w:szCs w:val="24"/>
        </w:rPr>
        <w:t xml:space="preserve">Estudo comparando vários tipos de quimioterápicos (gemcitabina, cisplatina, premetrexede, vinorelbine, taxanes, em associações diversas) não mostrou diferença na sobrevida dos pacientes com os esquemas testados; pacientes em estádio IIIb tiveram mediana de sobrevida de 12 meses e aqueles que apresentavam metástases, 10 meses. </w:t>
      </w:r>
    </w:p>
    <w:p w:rsidR="003D7302" w:rsidRPr="00492628" w:rsidRDefault="003D7302" w:rsidP="00795100">
      <w:pPr>
        <w:spacing w:line="360" w:lineRule="auto"/>
        <w:jc w:val="both"/>
        <w:rPr>
          <w:rFonts w:cs="Arial"/>
          <w:szCs w:val="24"/>
          <w:vertAlign w:val="superscript"/>
        </w:rPr>
      </w:pPr>
      <w:r>
        <w:rPr>
          <w:rFonts w:cs="Arial"/>
          <w:szCs w:val="24"/>
        </w:rPr>
        <w:t xml:space="preserve">Em 2005, um estudo comparando gefitinibe com placebo, com 1692 pacientes, não mostrou melhora da sobrevida com o primeiro. </w:t>
      </w:r>
      <w:r w:rsidRPr="00E8574B">
        <w:rPr>
          <w:rFonts w:cs="Arial"/>
          <w:szCs w:val="24"/>
          <w:vertAlign w:val="superscript"/>
        </w:rPr>
        <w:t>5</w:t>
      </w:r>
    </w:p>
    <w:p w:rsidR="003D7302" w:rsidRPr="007C647A" w:rsidRDefault="003D7302" w:rsidP="007C647A">
      <w:pPr>
        <w:spacing w:line="360" w:lineRule="auto"/>
        <w:jc w:val="both"/>
        <w:rPr>
          <w:rStyle w:val="Emphasis"/>
          <w:b w:val="0"/>
        </w:rPr>
      </w:pPr>
      <w:r w:rsidRPr="007C647A">
        <w:rPr>
          <w:rStyle w:val="Emphasis"/>
          <w:b w:val="0"/>
        </w:rPr>
        <w:t>Em 2008, pacientes com câncer avançado, já tratados com cisplatina e etoposide seguido de docetacel foram randomizados para usar gefitinibe ou placebo. O grupo placebo apresentou sobrevida maior (35 meses) que o grupo que recebeu o gefitinibe (23 meses) e o estudo foi suspenso.</w:t>
      </w:r>
      <w:r w:rsidRPr="00E8574B">
        <w:rPr>
          <w:rStyle w:val="Emphasis"/>
          <w:b w:val="0"/>
          <w:vertAlign w:val="superscript"/>
        </w:rPr>
        <w:t>6</w:t>
      </w:r>
    </w:p>
    <w:p w:rsidR="003D7302" w:rsidRPr="000E31AD" w:rsidRDefault="003D7302" w:rsidP="000E31AD">
      <w:pPr>
        <w:tabs>
          <w:tab w:val="left" w:pos="1205"/>
        </w:tabs>
        <w:spacing w:line="360" w:lineRule="auto"/>
        <w:jc w:val="both"/>
        <w:rPr>
          <w:rFonts w:cs="Arial"/>
          <w:szCs w:val="24"/>
        </w:rPr>
      </w:pPr>
      <w:r>
        <w:rPr>
          <w:rFonts w:cs="Arial"/>
          <w:szCs w:val="24"/>
        </w:rPr>
        <w:t>Quatro outros estudos, sem mascaramento dos participantes, compararam docetaxel com gefitinibe para pacientes cujo câncer havia progredido após a quimioterapia baseada em platina e em nenhum o gefitinibe mostrou-se melhor que o docetaxel em ganho de sobrevida. O estudo INTEREST, com 1433 pacientes, mostrou que o gefitinibe teve resultados semelhantes ao docetaxel. O resultado de sobrevida não foi avaliado.</w:t>
      </w:r>
      <w:r w:rsidRPr="00E8574B">
        <w:rPr>
          <w:rFonts w:cs="Arial"/>
          <w:szCs w:val="24"/>
          <w:vertAlign w:val="superscript"/>
        </w:rPr>
        <w:t>7</w:t>
      </w:r>
    </w:p>
    <w:p w:rsidR="003D7302" w:rsidRDefault="003D7302" w:rsidP="005839C0">
      <w:pPr>
        <w:spacing w:line="360" w:lineRule="auto"/>
        <w:jc w:val="both"/>
        <w:rPr>
          <w:b/>
          <w:smallCaps/>
          <w:color w:val="000000"/>
          <w:vertAlign w:val="superscript"/>
        </w:rPr>
      </w:pPr>
      <w:r w:rsidRPr="00055278">
        <w:t>Em outro estudo com 489 pacientes os autores comprovaram a não inferioridade do gefitinibe em relação ao docetaxel. Não houve diferença na sobrevida com as duas drogas.</w:t>
      </w:r>
      <w:r w:rsidRPr="00E8574B">
        <w:rPr>
          <w:vertAlign w:val="superscript"/>
        </w:rPr>
        <w:t>8</w:t>
      </w:r>
    </w:p>
    <w:p w:rsidR="003D7302" w:rsidRPr="00EB7A63" w:rsidRDefault="003D7302" w:rsidP="00D538FB">
      <w:pPr>
        <w:spacing w:line="360" w:lineRule="auto"/>
        <w:jc w:val="both"/>
      </w:pPr>
      <w:r>
        <w:t>Mais dois estudos não demonstraram ganho de sobrevida com o uso do gefitinibe.</w:t>
      </w:r>
      <w:r w:rsidRPr="00C9377A">
        <w:rPr>
          <w:vertAlign w:val="superscript"/>
        </w:rPr>
        <w:t>9</w:t>
      </w:r>
      <w:r>
        <w:rPr>
          <w:vertAlign w:val="superscript"/>
        </w:rPr>
        <w:t>,10</w:t>
      </w:r>
    </w:p>
    <w:p w:rsidR="003D7302" w:rsidRPr="003A3761" w:rsidRDefault="003D7302" w:rsidP="00D538FB">
      <w:pPr>
        <w:spacing w:line="360" w:lineRule="auto"/>
        <w:jc w:val="both"/>
        <w:rPr>
          <w:rFonts w:cs="Arial"/>
          <w:szCs w:val="24"/>
        </w:rPr>
      </w:pPr>
    </w:p>
    <w:p w:rsidR="003D7302" w:rsidRPr="001424DF" w:rsidRDefault="003D7302" w:rsidP="00B454C0">
      <w:pPr>
        <w:widowControl w:val="0"/>
        <w:overflowPunct/>
        <w:spacing w:after="240" w:line="360" w:lineRule="auto"/>
        <w:jc w:val="both"/>
        <w:textAlignment w:val="auto"/>
        <w:rPr>
          <w:rFonts w:cs="Arial"/>
          <w:szCs w:val="24"/>
        </w:rPr>
      </w:pPr>
      <w:r w:rsidRPr="00B454C0">
        <w:rPr>
          <w:rFonts w:cs="Arial"/>
          <w:b/>
          <w:szCs w:val="24"/>
        </w:rPr>
        <w:t xml:space="preserve">Conclusão: Não há evidência, na literatura, de que o tratamento com gefitinibe confira ganho de sobrevida aos pacientes com câncer de pulmão não pequenas células comparado ao tratamento com docetaxel. </w:t>
      </w:r>
      <w:r w:rsidRPr="001424DF">
        <w:rPr>
          <w:rFonts w:cs="Arial"/>
          <w:b/>
          <w:bCs/>
          <w:szCs w:val="24"/>
        </w:rPr>
        <w:t>Além disso, os</w:t>
      </w:r>
      <w:r>
        <w:rPr>
          <w:rFonts w:cs="Arial"/>
          <w:b/>
          <w:bCs/>
          <w:szCs w:val="24"/>
        </w:rPr>
        <w:t xml:space="preserve"> </w:t>
      </w:r>
      <w:r w:rsidRPr="001424DF">
        <w:rPr>
          <w:rFonts w:cs="Arial"/>
          <w:b/>
          <w:bCs/>
          <w:szCs w:val="24"/>
        </w:rPr>
        <w:t>benefícios</w:t>
      </w:r>
      <w:r>
        <w:rPr>
          <w:rFonts w:cs="Arial"/>
          <w:b/>
          <w:bCs/>
          <w:szCs w:val="24"/>
        </w:rPr>
        <w:t xml:space="preserve"> </w:t>
      </w:r>
      <w:r w:rsidRPr="001424DF">
        <w:rPr>
          <w:rFonts w:cs="Arial"/>
          <w:b/>
          <w:bCs/>
          <w:szCs w:val="24"/>
        </w:rPr>
        <w:t>demonstrados</w:t>
      </w:r>
      <w:r>
        <w:rPr>
          <w:rFonts w:cs="Arial"/>
          <w:b/>
          <w:bCs/>
          <w:szCs w:val="24"/>
        </w:rPr>
        <w:t xml:space="preserve"> </w:t>
      </w:r>
      <w:r w:rsidRPr="001424DF">
        <w:rPr>
          <w:rFonts w:cs="Arial"/>
          <w:b/>
          <w:bCs/>
          <w:szCs w:val="24"/>
        </w:rPr>
        <w:t>em</w:t>
      </w:r>
      <w:r>
        <w:rPr>
          <w:rFonts w:cs="Arial"/>
          <w:b/>
          <w:bCs/>
          <w:szCs w:val="24"/>
        </w:rPr>
        <w:t xml:space="preserve"> </w:t>
      </w:r>
      <w:r w:rsidRPr="001424DF">
        <w:rPr>
          <w:rFonts w:cs="Arial"/>
          <w:b/>
          <w:bCs/>
          <w:szCs w:val="24"/>
        </w:rPr>
        <w:t>termos de sobrevida</w:t>
      </w:r>
      <w:r>
        <w:rPr>
          <w:rFonts w:cs="Arial"/>
          <w:b/>
          <w:bCs/>
          <w:szCs w:val="24"/>
        </w:rPr>
        <w:t xml:space="preserve"> </w:t>
      </w:r>
      <w:r w:rsidRPr="001424DF">
        <w:rPr>
          <w:rFonts w:cs="Arial"/>
          <w:b/>
          <w:bCs/>
          <w:szCs w:val="24"/>
        </w:rPr>
        <w:t>livre de progressão</w:t>
      </w:r>
      <w:r>
        <w:rPr>
          <w:rFonts w:cs="Arial"/>
          <w:b/>
          <w:bCs/>
          <w:szCs w:val="24"/>
        </w:rPr>
        <w:t xml:space="preserve"> </w:t>
      </w:r>
      <w:r w:rsidRPr="001424DF">
        <w:rPr>
          <w:rFonts w:cs="Arial"/>
          <w:b/>
          <w:bCs/>
          <w:szCs w:val="24"/>
        </w:rPr>
        <w:t>são</w:t>
      </w:r>
      <w:r>
        <w:rPr>
          <w:rFonts w:cs="Arial"/>
          <w:b/>
          <w:bCs/>
          <w:szCs w:val="24"/>
        </w:rPr>
        <w:t xml:space="preserve"> </w:t>
      </w:r>
      <w:r w:rsidRPr="001424DF">
        <w:rPr>
          <w:rFonts w:cs="Arial"/>
          <w:b/>
          <w:bCs/>
          <w:szCs w:val="24"/>
        </w:rPr>
        <w:t>provenientes de estudos de baixa</w:t>
      </w:r>
      <w:r>
        <w:rPr>
          <w:rFonts w:cs="Arial"/>
          <w:b/>
          <w:bCs/>
          <w:szCs w:val="24"/>
        </w:rPr>
        <w:t xml:space="preserve"> </w:t>
      </w:r>
      <w:r w:rsidRPr="001424DF">
        <w:rPr>
          <w:rFonts w:cs="Arial"/>
          <w:b/>
          <w:bCs/>
          <w:szCs w:val="24"/>
        </w:rPr>
        <w:t>qualidade</w:t>
      </w:r>
      <w:r>
        <w:rPr>
          <w:rFonts w:cs="Arial"/>
          <w:b/>
          <w:bCs/>
          <w:szCs w:val="24"/>
        </w:rPr>
        <w:t xml:space="preserve"> </w:t>
      </w:r>
      <w:r w:rsidRPr="001424DF">
        <w:rPr>
          <w:rFonts w:cs="Arial"/>
          <w:b/>
          <w:bCs/>
          <w:szCs w:val="24"/>
        </w:rPr>
        <w:t>metodológica, que</w:t>
      </w:r>
      <w:r>
        <w:rPr>
          <w:rFonts w:cs="Arial"/>
          <w:b/>
          <w:bCs/>
          <w:szCs w:val="24"/>
        </w:rPr>
        <w:t xml:space="preserve"> </w:t>
      </w:r>
      <w:r w:rsidRPr="001424DF">
        <w:rPr>
          <w:rFonts w:cs="Arial"/>
          <w:b/>
          <w:bCs/>
          <w:szCs w:val="24"/>
        </w:rPr>
        <w:t>geram</w:t>
      </w:r>
      <w:r>
        <w:rPr>
          <w:rFonts w:cs="Arial"/>
          <w:b/>
          <w:bCs/>
          <w:szCs w:val="24"/>
        </w:rPr>
        <w:t xml:space="preserve"> </w:t>
      </w:r>
      <w:r w:rsidRPr="001424DF">
        <w:rPr>
          <w:rFonts w:cs="Arial"/>
          <w:b/>
          <w:bCs/>
          <w:szCs w:val="24"/>
        </w:rPr>
        <w:t>incerteza</w:t>
      </w:r>
      <w:r>
        <w:rPr>
          <w:rFonts w:cs="Arial"/>
          <w:b/>
          <w:bCs/>
          <w:szCs w:val="24"/>
        </w:rPr>
        <w:t xml:space="preserve"> </w:t>
      </w:r>
      <w:r w:rsidRPr="001424DF">
        <w:rPr>
          <w:rFonts w:cs="Arial"/>
          <w:b/>
          <w:bCs/>
          <w:szCs w:val="24"/>
        </w:rPr>
        <w:t>quanto</w:t>
      </w:r>
      <w:r>
        <w:rPr>
          <w:rFonts w:cs="Arial"/>
          <w:b/>
          <w:bCs/>
          <w:szCs w:val="24"/>
        </w:rPr>
        <w:t xml:space="preserve"> </w:t>
      </w:r>
      <w:r w:rsidRPr="001424DF">
        <w:rPr>
          <w:rFonts w:cs="Arial"/>
          <w:b/>
          <w:bCs/>
          <w:szCs w:val="24"/>
        </w:rPr>
        <w:t>a</w:t>
      </w:r>
      <w:r>
        <w:rPr>
          <w:rFonts w:cs="Arial"/>
          <w:b/>
          <w:bCs/>
          <w:szCs w:val="24"/>
        </w:rPr>
        <w:t xml:space="preserve"> </w:t>
      </w:r>
      <w:r w:rsidRPr="001424DF">
        <w:rPr>
          <w:rFonts w:cs="Arial"/>
          <w:b/>
          <w:bCs/>
          <w:szCs w:val="24"/>
        </w:rPr>
        <w:t>esses</w:t>
      </w:r>
      <w:r>
        <w:rPr>
          <w:rFonts w:cs="Arial"/>
          <w:b/>
          <w:bCs/>
          <w:szCs w:val="24"/>
        </w:rPr>
        <w:t xml:space="preserve"> </w:t>
      </w:r>
      <w:r w:rsidRPr="001424DF">
        <w:rPr>
          <w:rFonts w:cs="Arial"/>
          <w:b/>
          <w:bCs/>
          <w:szCs w:val="24"/>
        </w:rPr>
        <w:t>desfechos.</w:t>
      </w:r>
    </w:p>
    <w:p w:rsidR="003D7302" w:rsidRPr="00B454C0" w:rsidRDefault="003D7302" w:rsidP="00B454C0">
      <w:pPr>
        <w:spacing w:line="360" w:lineRule="auto"/>
        <w:jc w:val="both"/>
        <w:rPr>
          <w:rFonts w:cs="Arial"/>
          <w:b/>
          <w:szCs w:val="24"/>
        </w:rPr>
      </w:pPr>
      <w:r w:rsidRPr="00B454C0">
        <w:rPr>
          <w:rFonts w:cs="Arial"/>
          <w:b/>
          <w:szCs w:val="24"/>
        </w:rPr>
        <w:t>A doença metastática tem prognóstico ruim e ainda não foi encontrado medicamento eficaz que proporcione sobrevida melhor para esses pacientes.</w:t>
      </w:r>
    </w:p>
    <w:p w:rsidR="003D7302" w:rsidRPr="000E73AB" w:rsidRDefault="003D7302" w:rsidP="00795100">
      <w:pPr>
        <w:spacing w:line="360" w:lineRule="auto"/>
        <w:jc w:val="both"/>
        <w:rPr>
          <w:rFonts w:ascii="Calibri" w:hAnsi="Calibri" w:cs="Calibri"/>
          <w:sz w:val="22"/>
          <w:szCs w:val="22"/>
        </w:rPr>
      </w:pPr>
    </w:p>
    <w:p w:rsidR="003D7302" w:rsidRDefault="003D7302" w:rsidP="0067597F">
      <w:pPr>
        <w:pStyle w:val="Heading1"/>
        <w:numPr>
          <w:ilvl w:val="0"/>
          <w:numId w:val="24"/>
        </w:numPr>
      </w:pPr>
      <w:bookmarkStart w:id="11" w:name="_Toc245422133"/>
      <w:r w:rsidRPr="00EB626F">
        <w:t>Referências</w:t>
      </w:r>
      <w:bookmarkEnd w:id="11"/>
    </w:p>
    <w:p w:rsidR="003D7302" w:rsidRPr="00BD5A1E" w:rsidRDefault="003D7302" w:rsidP="00BD5A1E">
      <w:pPr>
        <w:pStyle w:val="ListParagraph"/>
        <w:numPr>
          <w:ilvl w:val="0"/>
          <w:numId w:val="28"/>
        </w:numPr>
        <w:shd w:val="clear" w:color="auto" w:fill="FFFFFF"/>
        <w:overflowPunct/>
        <w:autoSpaceDE/>
        <w:autoSpaceDN/>
        <w:adjustRightInd/>
        <w:spacing w:line="360" w:lineRule="auto"/>
        <w:jc w:val="both"/>
        <w:textAlignment w:val="auto"/>
        <w:rPr>
          <w:rFonts w:cs="Arial"/>
          <w:szCs w:val="24"/>
        </w:rPr>
      </w:pPr>
      <w:r w:rsidRPr="001424DF">
        <w:rPr>
          <w:szCs w:val="24"/>
        </w:rPr>
        <w:t xml:space="preserve">Brasil, InstitutoNacionaldoCâncer. </w:t>
      </w:r>
      <w:r w:rsidRPr="00BD5A1E">
        <w:rPr>
          <w:rFonts w:cs="Arial"/>
          <w:szCs w:val="24"/>
        </w:rPr>
        <w:t>INCA</w:t>
      </w:r>
      <w:r w:rsidRPr="00BD5A1E">
        <w:rPr>
          <w:szCs w:val="24"/>
        </w:rPr>
        <w:t xml:space="preserve">. Disponível em </w:t>
      </w:r>
      <w:hyperlink r:id="rId8" w:history="1">
        <w:r w:rsidRPr="00BD5A1E">
          <w:rPr>
            <w:rStyle w:val="Hyperlink"/>
            <w:rFonts w:cs="Arial"/>
            <w:color w:val="auto"/>
            <w:szCs w:val="24"/>
            <w:u w:val="none"/>
          </w:rPr>
          <w:t>http://www2.inca.gov.br/wps/wcm/connect/tiposdecancer/site/home/pulmao/definicao</w:t>
        </w:r>
      </w:hyperlink>
    </w:p>
    <w:p w:rsidR="003D7302" w:rsidRPr="00BD5A1E" w:rsidRDefault="003D7302" w:rsidP="00BD5A1E">
      <w:pPr>
        <w:pStyle w:val="ListParagraph"/>
        <w:shd w:val="clear" w:color="auto" w:fill="FFFFFF"/>
        <w:overflowPunct/>
        <w:autoSpaceDE/>
        <w:autoSpaceDN/>
        <w:adjustRightInd/>
        <w:spacing w:line="360" w:lineRule="auto"/>
        <w:ind w:left="900"/>
        <w:jc w:val="both"/>
        <w:textAlignment w:val="auto"/>
        <w:rPr>
          <w:rFonts w:cs="Arial"/>
          <w:szCs w:val="24"/>
        </w:rPr>
      </w:pPr>
    </w:p>
    <w:p w:rsidR="003D7302" w:rsidRPr="00BD5A1E" w:rsidRDefault="003D7302" w:rsidP="00BD5A1E">
      <w:pPr>
        <w:pStyle w:val="ListParagraph"/>
        <w:numPr>
          <w:ilvl w:val="0"/>
          <w:numId w:val="28"/>
        </w:numPr>
        <w:shd w:val="clear" w:color="auto" w:fill="FFFFFF"/>
        <w:overflowPunct/>
        <w:autoSpaceDE/>
        <w:autoSpaceDN/>
        <w:adjustRightInd/>
        <w:spacing w:line="360" w:lineRule="auto"/>
        <w:textAlignment w:val="auto"/>
        <w:rPr>
          <w:rFonts w:cs="Arial"/>
          <w:szCs w:val="24"/>
        </w:rPr>
      </w:pPr>
      <w:r w:rsidRPr="00BD5A1E">
        <w:rPr>
          <w:rFonts w:cs="Arial"/>
          <w:szCs w:val="24"/>
          <w:lang w:val="en-US"/>
        </w:rPr>
        <w:t xml:space="preserve">National Institute for Health and Clinical Excellence (NICE) </w:t>
      </w:r>
      <w:r w:rsidRPr="00BD5A1E">
        <w:rPr>
          <w:szCs w:val="24"/>
          <w:lang w:val="en-US"/>
        </w:rPr>
        <w:t>Final appraisal determination Gefitinib for the first-line treatment of locally advanced or metastatic non-small-cell lung cancer.</w:t>
      </w:r>
      <w:r w:rsidRPr="00BD5A1E">
        <w:rPr>
          <w:rFonts w:cs="Arial"/>
          <w:szCs w:val="24"/>
          <w:lang w:val="en-US"/>
        </w:rPr>
        <w:t xml:space="preserve"> Date: May 2010. Disponívelem</w:t>
      </w:r>
      <w:hyperlink r:id="rId9" w:history="1">
        <w:r w:rsidRPr="00BD5A1E">
          <w:rPr>
            <w:rStyle w:val="Hyperlink"/>
            <w:rFonts w:cs="Arial"/>
            <w:color w:val="auto"/>
            <w:szCs w:val="24"/>
            <w:u w:val="none"/>
            <w:lang w:val="en-US"/>
          </w:rPr>
          <w:t>http://www.nice.org.uk/nicemedia/live/12185/48834/48834.pdf</w:t>
        </w:r>
      </w:hyperlink>
    </w:p>
    <w:p w:rsidR="003D7302" w:rsidRPr="00BD5A1E" w:rsidRDefault="003D7302" w:rsidP="00BD5A1E">
      <w:pPr>
        <w:shd w:val="clear" w:color="auto" w:fill="FFFFFF"/>
        <w:overflowPunct/>
        <w:autoSpaceDE/>
        <w:autoSpaceDN/>
        <w:adjustRightInd/>
        <w:spacing w:line="360" w:lineRule="auto"/>
        <w:jc w:val="both"/>
        <w:textAlignment w:val="auto"/>
        <w:rPr>
          <w:rFonts w:cs="Arial"/>
          <w:szCs w:val="24"/>
        </w:rPr>
      </w:pPr>
    </w:p>
    <w:p w:rsidR="003D7302" w:rsidRDefault="003D7302" w:rsidP="00BD5A1E">
      <w:pPr>
        <w:pStyle w:val="ListParagraph"/>
        <w:numPr>
          <w:ilvl w:val="0"/>
          <w:numId w:val="28"/>
        </w:numPr>
        <w:shd w:val="clear" w:color="auto" w:fill="FFFFFF"/>
        <w:overflowPunct/>
        <w:autoSpaceDE/>
        <w:autoSpaceDN/>
        <w:adjustRightInd/>
        <w:spacing w:line="360" w:lineRule="auto"/>
        <w:textAlignment w:val="auto"/>
        <w:rPr>
          <w:rFonts w:cs="Arial"/>
          <w:szCs w:val="24"/>
        </w:rPr>
      </w:pPr>
      <w:r w:rsidRPr="001424DF">
        <w:rPr>
          <w:rFonts w:cs="Arial"/>
          <w:szCs w:val="24"/>
          <w:lang w:val="en-US"/>
        </w:rPr>
        <w:t xml:space="preserve">CanadianCoordinating Office for Health ThecnologyAssessment. </w:t>
      </w:r>
      <w:r w:rsidRPr="00BD5A1E">
        <w:rPr>
          <w:rFonts w:cs="Arial"/>
          <w:szCs w:val="24"/>
        </w:rPr>
        <w:t xml:space="preserve">Gefitinib. 2004. Disponível em </w:t>
      </w:r>
      <w:hyperlink r:id="rId10" w:history="1">
        <w:r w:rsidRPr="007E5AA9">
          <w:rPr>
            <w:rStyle w:val="Hyperlink"/>
            <w:rFonts w:cs="Arial"/>
            <w:color w:val="auto"/>
            <w:szCs w:val="24"/>
            <w:u w:val="none"/>
          </w:rPr>
          <w:t>http://www.cadth.ca/media/cdr/complete/cdr_complete_iressa_06-23-04.pdf</w:t>
        </w:r>
      </w:hyperlink>
    </w:p>
    <w:p w:rsidR="003D7302" w:rsidRPr="007E5AA9" w:rsidRDefault="003D7302" w:rsidP="007E5AA9">
      <w:pPr>
        <w:shd w:val="clear" w:color="auto" w:fill="FFFFFF"/>
        <w:overflowPunct/>
        <w:autoSpaceDE/>
        <w:autoSpaceDN/>
        <w:adjustRightInd/>
        <w:spacing w:line="360" w:lineRule="auto"/>
        <w:textAlignment w:val="auto"/>
        <w:rPr>
          <w:rFonts w:cs="Arial"/>
          <w:szCs w:val="24"/>
        </w:rPr>
      </w:pPr>
    </w:p>
    <w:p w:rsidR="003D7302" w:rsidRPr="00E8574B" w:rsidRDefault="003D7302" w:rsidP="00BD5A1E">
      <w:pPr>
        <w:pStyle w:val="ListParagraph"/>
        <w:numPr>
          <w:ilvl w:val="0"/>
          <w:numId w:val="28"/>
        </w:numPr>
        <w:shd w:val="clear" w:color="auto" w:fill="FFFFFF"/>
        <w:overflowPunct/>
        <w:autoSpaceDE/>
        <w:autoSpaceDN/>
        <w:adjustRightInd/>
        <w:spacing w:line="360" w:lineRule="auto"/>
        <w:textAlignment w:val="auto"/>
        <w:rPr>
          <w:rFonts w:cs="Arial"/>
          <w:szCs w:val="24"/>
        </w:rPr>
      </w:pPr>
      <w:r w:rsidRPr="001424DF">
        <w:rPr>
          <w:lang w:val="en-US"/>
        </w:rPr>
        <w:t xml:space="preserve">Einhron LH. First-linechemotherapy for non-smallcelllung câncer: isthere a superior regimenbasedonHistology?  </w:t>
      </w:r>
      <w:r w:rsidRPr="007E5AA9">
        <w:t>J ClinOncol. 2008;21(21) 3485</w:t>
      </w:r>
    </w:p>
    <w:p w:rsidR="003D7302" w:rsidRPr="00E8574B" w:rsidRDefault="003D7302" w:rsidP="00E8574B">
      <w:pPr>
        <w:shd w:val="clear" w:color="auto" w:fill="FFFFFF"/>
        <w:overflowPunct/>
        <w:autoSpaceDE/>
        <w:autoSpaceDN/>
        <w:adjustRightInd/>
        <w:spacing w:line="360" w:lineRule="auto"/>
        <w:textAlignment w:val="auto"/>
        <w:rPr>
          <w:rFonts w:cs="Arial"/>
          <w:szCs w:val="24"/>
        </w:rPr>
      </w:pPr>
    </w:p>
    <w:p w:rsidR="003D7302" w:rsidRDefault="003D7302" w:rsidP="00E8574B">
      <w:pPr>
        <w:pStyle w:val="ListParagraph"/>
        <w:numPr>
          <w:ilvl w:val="0"/>
          <w:numId w:val="28"/>
        </w:numPr>
        <w:spacing w:line="360" w:lineRule="auto"/>
        <w:jc w:val="both"/>
        <w:rPr>
          <w:rFonts w:cs="Arial"/>
          <w:szCs w:val="24"/>
        </w:rPr>
      </w:pPr>
      <w:r w:rsidRPr="001424DF">
        <w:rPr>
          <w:rFonts w:cs="Arial"/>
          <w:szCs w:val="24"/>
          <w:lang w:val="en-US"/>
        </w:rPr>
        <w:t xml:space="preserve">Thatcher N, Chang A, Parikh P et al. Gefitinibe plusbestsupportivecare in previouslytreatedpatientswithrefractoryadvanced non-small-celllungcancer: resultsfrom a randomised, placebo-controlled, multicentrestudy (IressaSurvivalEvaluation in LungCancer). </w:t>
      </w:r>
      <w:r w:rsidRPr="00E8574B">
        <w:rPr>
          <w:rFonts w:cs="Arial"/>
          <w:szCs w:val="24"/>
        </w:rPr>
        <w:t>Lancet 2005; 366:1527-37.</w:t>
      </w:r>
    </w:p>
    <w:p w:rsidR="003D7302" w:rsidRPr="00B673FF" w:rsidRDefault="003D7302" w:rsidP="00B673FF">
      <w:pPr>
        <w:spacing w:line="360" w:lineRule="auto"/>
        <w:jc w:val="both"/>
        <w:rPr>
          <w:rFonts w:cs="Arial"/>
          <w:szCs w:val="24"/>
        </w:rPr>
      </w:pPr>
    </w:p>
    <w:p w:rsidR="003D7302" w:rsidRPr="00E8574B" w:rsidRDefault="003D7302" w:rsidP="00B673FF">
      <w:pPr>
        <w:pStyle w:val="ListParagraph"/>
        <w:spacing w:line="360" w:lineRule="auto"/>
        <w:ind w:left="900"/>
        <w:jc w:val="both"/>
        <w:rPr>
          <w:rFonts w:cs="Arial"/>
          <w:szCs w:val="24"/>
        </w:rPr>
      </w:pPr>
    </w:p>
    <w:p w:rsidR="003D7302" w:rsidRPr="00B673FF" w:rsidRDefault="003D7302" w:rsidP="00E8574B">
      <w:pPr>
        <w:pStyle w:val="ListParagraph"/>
        <w:numPr>
          <w:ilvl w:val="0"/>
          <w:numId w:val="28"/>
        </w:numPr>
        <w:shd w:val="clear" w:color="auto" w:fill="FFFFFF"/>
        <w:overflowPunct/>
        <w:autoSpaceDE/>
        <w:autoSpaceDN/>
        <w:adjustRightInd/>
        <w:spacing w:line="360" w:lineRule="auto"/>
        <w:textAlignment w:val="auto"/>
        <w:rPr>
          <w:rStyle w:val="Emphasis"/>
          <w:rFonts w:cs="Arial"/>
          <w:b w:val="0"/>
          <w:bCs w:val="0"/>
          <w:szCs w:val="24"/>
        </w:rPr>
      </w:pPr>
      <w:r w:rsidRPr="001424DF">
        <w:rPr>
          <w:rStyle w:val="Emphasis"/>
          <w:b w:val="0"/>
          <w:lang w:val="en-US"/>
        </w:rPr>
        <w:t xml:space="preserve">Kelly K, Chansky K, Gaspar LE et al. Phase III trialofmaintenancegefitinibor placebo afterconcurrentchemoradiotherapyanddocetaxelconsolidation in inoperablestage III non-small-celllungcancer: SWOG S0023. </w:t>
      </w:r>
      <w:r w:rsidRPr="00E8574B">
        <w:rPr>
          <w:rStyle w:val="Emphasis"/>
          <w:b w:val="0"/>
        </w:rPr>
        <w:t>J Cl Oncol 2008; 26(15): 2450-6</w:t>
      </w:r>
    </w:p>
    <w:p w:rsidR="003D7302" w:rsidRPr="00E8574B" w:rsidRDefault="003D7302" w:rsidP="00B673FF">
      <w:pPr>
        <w:pStyle w:val="ListParagraph"/>
        <w:shd w:val="clear" w:color="auto" w:fill="FFFFFF"/>
        <w:overflowPunct/>
        <w:autoSpaceDE/>
        <w:autoSpaceDN/>
        <w:adjustRightInd/>
        <w:spacing w:line="360" w:lineRule="auto"/>
        <w:ind w:left="900"/>
        <w:textAlignment w:val="auto"/>
        <w:rPr>
          <w:rStyle w:val="Emphasis"/>
          <w:rFonts w:cs="Arial"/>
          <w:b w:val="0"/>
          <w:bCs w:val="0"/>
          <w:szCs w:val="24"/>
        </w:rPr>
      </w:pPr>
    </w:p>
    <w:p w:rsidR="003D7302" w:rsidRPr="00B673FF" w:rsidRDefault="003D7302" w:rsidP="00E8574B">
      <w:pPr>
        <w:pStyle w:val="ListParagraph"/>
        <w:numPr>
          <w:ilvl w:val="0"/>
          <w:numId w:val="28"/>
        </w:numPr>
        <w:tabs>
          <w:tab w:val="left" w:pos="1205"/>
        </w:tabs>
        <w:spacing w:line="360" w:lineRule="auto"/>
        <w:jc w:val="both"/>
        <w:rPr>
          <w:rFonts w:cs="Arial"/>
          <w:szCs w:val="24"/>
        </w:rPr>
      </w:pPr>
      <w:hyperlink r:id="rId11" w:history="1">
        <w:r w:rsidRPr="001424DF">
          <w:rPr>
            <w:rStyle w:val="Hyperlink"/>
            <w:color w:val="auto"/>
            <w:szCs w:val="24"/>
            <w:u w:val="none"/>
            <w:bdr w:val="none" w:sz="0" w:space="0" w:color="auto" w:frame="1"/>
            <w:lang w:val="en-US"/>
          </w:rPr>
          <w:t>Kim ES</w:t>
        </w:r>
      </w:hyperlink>
      <w:r w:rsidRPr="001424DF">
        <w:rPr>
          <w:szCs w:val="24"/>
          <w:lang w:val="en-US"/>
        </w:rPr>
        <w:t>,</w:t>
      </w:r>
      <w:r w:rsidRPr="001424DF">
        <w:rPr>
          <w:rStyle w:val="apple-converted-space"/>
          <w:szCs w:val="24"/>
          <w:lang w:val="en-US"/>
        </w:rPr>
        <w:t> </w:t>
      </w:r>
      <w:hyperlink r:id="rId12" w:history="1">
        <w:r w:rsidRPr="001424DF">
          <w:rPr>
            <w:rStyle w:val="Hyperlink"/>
            <w:color w:val="auto"/>
            <w:szCs w:val="24"/>
            <w:u w:val="none"/>
            <w:bdr w:val="none" w:sz="0" w:space="0" w:color="auto" w:frame="1"/>
            <w:lang w:val="en-US"/>
          </w:rPr>
          <w:t>Hirsh V</w:t>
        </w:r>
      </w:hyperlink>
      <w:r w:rsidRPr="001424DF">
        <w:rPr>
          <w:szCs w:val="24"/>
          <w:lang w:val="en-US"/>
        </w:rPr>
        <w:t>,</w:t>
      </w:r>
      <w:r w:rsidRPr="001424DF">
        <w:rPr>
          <w:rStyle w:val="apple-converted-space"/>
          <w:szCs w:val="24"/>
          <w:lang w:val="en-US"/>
        </w:rPr>
        <w:t> </w:t>
      </w:r>
      <w:hyperlink r:id="rId13" w:history="1">
        <w:r w:rsidRPr="001424DF">
          <w:rPr>
            <w:rStyle w:val="Hyperlink"/>
            <w:color w:val="auto"/>
            <w:szCs w:val="24"/>
            <w:u w:val="none"/>
            <w:bdr w:val="none" w:sz="0" w:space="0" w:color="auto" w:frame="1"/>
            <w:lang w:val="en-US"/>
          </w:rPr>
          <w:t>Mok T</w:t>
        </w:r>
      </w:hyperlink>
      <w:r w:rsidRPr="001424DF">
        <w:rPr>
          <w:szCs w:val="24"/>
          <w:lang w:val="en-US"/>
        </w:rPr>
        <w:t xml:space="preserve"> et al.Gefitinib versus docetaxel in previouslytreated non-small-celllungcancer(INTEREST): a randomisedphase III trial. </w:t>
      </w:r>
      <w:hyperlink r:id="rId14" w:tooltip="Lancet." w:history="1">
        <w:r w:rsidRPr="00E8574B">
          <w:rPr>
            <w:rStyle w:val="Hyperlink"/>
            <w:color w:val="auto"/>
            <w:szCs w:val="24"/>
            <w:u w:val="none"/>
            <w:bdr w:val="none" w:sz="0" w:space="0" w:color="auto" w:frame="1"/>
          </w:rPr>
          <w:t>Lancet.</w:t>
        </w:r>
      </w:hyperlink>
      <w:r w:rsidRPr="00E8574B">
        <w:rPr>
          <w:rStyle w:val="apple-converted-space"/>
          <w:szCs w:val="24"/>
        </w:rPr>
        <w:t> </w:t>
      </w:r>
      <w:r w:rsidRPr="00E8574B">
        <w:rPr>
          <w:szCs w:val="24"/>
        </w:rPr>
        <w:t>2008 Nov 22;372(9652):1809-18.</w:t>
      </w:r>
    </w:p>
    <w:p w:rsidR="003D7302" w:rsidRPr="00B673FF" w:rsidRDefault="003D7302" w:rsidP="00B673FF">
      <w:pPr>
        <w:tabs>
          <w:tab w:val="left" w:pos="1205"/>
        </w:tabs>
        <w:spacing w:line="360" w:lineRule="auto"/>
        <w:jc w:val="both"/>
        <w:rPr>
          <w:rFonts w:cs="Arial"/>
          <w:szCs w:val="24"/>
        </w:rPr>
      </w:pPr>
    </w:p>
    <w:p w:rsidR="003D7302" w:rsidRPr="00E8574B" w:rsidRDefault="003D7302" w:rsidP="00B673FF">
      <w:pPr>
        <w:pStyle w:val="ListParagraph"/>
        <w:tabs>
          <w:tab w:val="left" w:pos="1205"/>
        </w:tabs>
        <w:spacing w:line="360" w:lineRule="auto"/>
        <w:ind w:left="900"/>
        <w:jc w:val="both"/>
        <w:rPr>
          <w:rFonts w:cs="Arial"/>
          <w:szCs w:val="24"/>
        </w:rPr>
      </w:pPr>
    </w:p>
    <w:p w:rsidR="003D7302" w:rsidRPr="00B673FF" w:rsidRDefault="003D7302" w:rsidP="00E8574B">
      <w:pPr>
        <w:pStyle w:val="ListParagraph"/>
        <w:numPr>
          <w:ilvl w:val="0"/>
          <w:numId w:val="28"/>
        </w:numPr>
        <w:spacing w:line="360" w:lineRule="auto"/>
        <w:jc w:val="both"/>
        <w:rPr>
          <w:b/>
          <w:smallCaps/>
          <w:color w:val="000000"/>
        </w:rPr>
      </w:pPr>
      <w:r w:rsidRPr="001424DF">
        <w:rPr>
          <w:color w:val="000000"/>
          <w:lang w:val="en-US"/>
        </w:rPr>
        <w:t xml:space="preserve">Mauyama R, Nishiwaki Y, Tamura T. Phase III study, V-15-32, ofgefitinib versus docetaxel in previouslytreatedpatientswith non-small-celllungcancer. </w:t>
      </w:r>
      <w:r w:rsidRPr="00E8574B">
        <w:rPr>
          <w:color w:val="000000"/>
        </w:rPr>
        <w:t>J ClinOncol 2008;26:4244-52</w:t>
      </w:r>
    </w:p>
    <w:p w:rsidR="003D7302" w:rsidRPr="00E8574B" w:rsidRDefault="003D7302" w:rsidP="00B673FF">
      <w:pPr>
        <w:pStyle w:val="ListParagraph"/>
        <w:spacing w:line="360" w:lineRule="auto"/>
        <w:ind w:left="900"/>
        <w:jc w:val="both"/>
        <w:rPr>
          <w:b/>
          <w:smallCaps/>
          <w:color w:val="000000"/>
        </w:rPr>
      </w:pPr>
    </w:p>
    <w:p w:rsidR="003D7302" w:rsidRPr="00B673FF" w:rsidRDefault="003D7302" w:rsidP="00E8574B">
      <w:pPr>
        <w:pStyle w:val="ListParagraph"/>
        <w:numPr>
          <w:ilvl w:val="0"/>
          <w:numId w:val="28"/>
        </w:numPr>
        <w:shd w:val="clear" w:color="auto" w:fill="FFFFFF"/>
        <w:overflowPunct/>
        <w:autoSpaceDE/>
        <w:autoSpaceDN/>
        <w:adjustRightInd/>
        <w:spacing w:line="360" w:lineRule="auto"/>
        <w:textAlignment w:val="auto"/>
        <w:rPr>
          <w:rFonts w:cs="Arial"/>
          <w:szCs w:val="24"/>
        </w:rPr>
      </w:pPr>
      <w:r w:rsidRPr="001424DF">
        <w:rPr>
          <w:lang w:val="en-US"/>
        </w:rPr>
        <w:t xml:space="preserve">Lee DH, Park K, Kim JH et al. RandomizedPhase III trialofgefitinib versus docetaxel in non-small-celllung câncer patientswhohavepreviouslyrecievedplatinun-basedchemotherapy. </w:t>
      </w:r>
      <w:r w:rsidRPr="00984690">
        <w:t>ClinCancer Res. 2010; 16(4):1307-14.</w:t>
      </w:r>
    </w:p>
    <w:p w:rsidR="003D7302" w:rsidRPr="00B673FF" w:rsidRDefault="003D7302" w:rsidP="00B673FF">
      <w:pPr>
        <w:shd w:val="clear" w:color="auto" w:fill="FFFFFF"/>
        <w:overflowPunct/>
        <w:autoSpaceDE/>
        <w:autoSpaceDN/>
        <w:adjustRightInd/>
        <w:spacing w:line="360" w:lineRule="auto"/>
        <w:textAlignment w:val="auto"/>
        <w:rPr>
          <w:rFonts w:cs="Arial"/>
          <w:szCs w:val="24"/>
        </w:rPr>
      </w:pPr>
    </w:p>
    <w:p w:rsidR="003D7302" w:rsidRPr="00984690" w:rsidRDefault="003D7302" w:rsidP="00B673FF">
      <w:pPr>
        <w:pStyle w:val="ListParagraph"/>
        <w:shd w:val="clear" w:color="auto" w:fill="FFFFFF"/>
        <w:overflowPunct/>
        <w:autoSpaceDE/>
        <w:autoSpaceDN/>
        <w:adjustRightInd/>
        <w:spacing w:line="360" w:lineRule="auto"/>
        <w:ind w:left="900"/>
        <w:textAlignment w:val="auto"/>
        <w:rPr>
          <w:rFonts w:cs="Arial"/>
          <w:szCs w:val="24"/>
        </w:rPr>
      </w:pPr>
    </w:p>
    <w:p w:rsidR="003D7302" w:rsidRPr="00984690" w:rsidRDefault="003D7302" w:rsidP="00984690">
      <w:pPr>
        <w:pStyle w:val="ListParagraph"/>
        <w:numPr>
          <w:ilvl w:val="0"/>
          <w:numId w:val="28"/>
        </w:numPr>
        <w:spacing w:line="360" w:lineRule="auto"/>
        <w:jc w:val="both"/>
      </w:pPr>
      <w:r w:rsidRPr="00984690">
        <w:t xml:space="preserve">Cufer T, Vrdolijak E, Gaafar R et al. </w:t>
      </w:r>
      <w:r w:rsidRPr="001424DF">
        <w:rPr>
          <w:lang w:val="en-US"/>
        </w:rPr>
        <w:t xml:space="preserve">Phase II, open-label, randomizedstudy (SIGN) of single-agentgefitinib (IRESSA) ordocetaxel as second-linetherapy in patientswithadvanced (stageIIIbor IV) non-small-celllung câncer. </w:t>
      </w:r>
      <w:r w:rsidRPr="00984690">
        <w:t>AnticancerDrugs. 2006; 17(4):401-9.</w:t>
      </w:r>
    </w:p>
    <w:p w:rsidR="003D7302" w:rsidRPr="00984690" w:rsidRDefault="003D7302" w:rsidP="00984690">
      <w:pPr>
        <w:pStyle w:val="ListParagraph"/>
        <w:shd w:val="clear" w:color="auto" w:fill="FFFFFF"/>
        <w:overflowPunct/>
        <w:autoSpaceDE/>
        <w:autoSpaceDN/>
        <w:adjustRightInd/>
        <w:spacing w:line="360" w:lineRule="auto"/>
        <w:ind w:left="900"/>
        <w:textAlignment w:val="auto"/>
        <w:rPr>
          <w:rFonts w:cs="Arial"/>
          <w:szCs w:val="24"/>
        </w:rPr>
      </w:pPr>
    </w:p>
    <w:p w:rsidR="003D7302" w:rsidRDefault="003D7302" w:rsidP="00C35ECD">
      <w:pPr>
        <w:pStyle w:val="Default"/>
        <w:spacing w:line="360" w:lineRule="auto"/>
        <w:jc w:val="both"/>
        <w:rPr>
          <w:lang w:val="en-US"/>
        </w:rPr>
      </w:pPr>
    </w:p>
    <w:p w:rsidR="003D7302" w:rsidRDefault="003D7302" w:rsidP="00C35ECD">
      <w:pPr>
        <w:pStyle w:val="Default"/>
        <w:spacing w:line="360" w:lineRule="auto"/>
        <w:jc w:val="both"/>
        <w:rPr>
          <w:lang w:val="en-US"/>
        </w:rPr>
      </w:pPr>
    </w:p>
    <w:p w:rsidR="003D7302" w:rsidRDefault="003D7302" w:rsidP="00C35ECD">
      <w:pPr>
        <w:pStyle w:val="Default"/>
        <w:spacing w:line="360" w:lineRule="auto"/>
        <w:jc w:val="both"/>
        <w:rPr>
          <w:lang w:val="en-US"/>
        </w:rPr>
      </w:pPr>
    </w:p>
    <w:p w:rsidR="003D7302" w:rsidRDefault="003D7302" w:rsidP="00C35ECD">
      <w:pPr>
        <w:pStyle w:val="Default"/>
        <w:spacing w:line="360" w:lineRule="auto"/>
        <w:jc w:val="both"/>
        <w:rPr>
          <w:lang w:val="en-US"/>
        </w:rPr>
      </w:pPr>
    </w:p>
    <w:p w:rsidR="003D7302" w:rsidRDefault="003D7302" w:rsidP="00C35ECD">
      <w:pPr>
        <w:pStyle w:val="Default"/>
        <w:spacing w:line="360" w:lineRule="auto"/>
        <w:jc w:val="both"/>
        <w:rPr>
          <w:lang w:val="en-US"/>
        </w:rPr>
      </w:pPr>
    </w:p>
    <w:p w:rsidR="003D7302" w:rsidRDefault="003D7302" w:rsidP="00C35ECD">
      <w:pPr>
        <w:pStyle w:val="Default"/>
        <w:spacing w:line="360" w:lineRule="auto"/>
        <w:jc w:val="both"/>
        <w:rPr>
          <w:lang w:val="en-US"/>
        </w:rPr>
      </w:pPr>
    </w:p>
    <w:p w:rsidR="003D7302" w:rsidRDefault="003D7302" w:rsidP="00C35ECD">
      <w:pPr>
        <w:pStyle w:val="Default"/>
        <w:spacing w:line="360" w:lineRule="auto"/>
        <w:jc w:val="both"/>
        <w:rPr>
          <w:lang w:val="en-US"/>
        </w:rPr>
      </w:pPr>
    </w:p>
    <w:p w:rsidR="003D7302" w:rsidRDefault="003D7302" w:rsidP="00C35ECD">
      <w:pPr>
        <w:pStyle w:val="Default"/>
        <w:spacing w:line="360" w:lineRule="auto"/>
        <w:jc w:val="both"/>
        <w:rPr>
          <w:lang w:val="en-US"/>
        </w:rPr>
      </w:pPr>
    </w:p>
    <w:p w:rsidR="003D7302" w:rsidRDefault="003D7302" w:rsidP="00C35ECD">
      <w:pPr>
        <w:pStyle w:val="Default"/>
        <w:spacing w:line="360" w:lineRule="auto"/>
        <w:jc w:val="both"/>
        <w:rPr>
          <w:lang w:val="en-US"/>
        </w:rPr>
      </w:pPr>
    </w:p>
    <w:p w:rsidR="003D7302" w:rsidRDefault="003D7302" w:rsidP="00C35ECD">
      <w:pPr>
        <w:pStyle w:val="Default"/>
        <w:spacing w:line="360" w:lineRule="auto"/>
        <w:jc w:val="both"/>
        <w:rPr>
          <w:lang w:val="en-US"/>
        </w:rPr>
      </w:pPr>
    </w:p>
    <w:p w:rsidR="003D7302" w:rsidRDefault="003D7302" w:rsidP="00C35ECD">
      <w:pPr>
        <w:pStyle w:val="Default"/>
        <w:spacing w:line="360" w:lineRule="auto"/>
        <w:jc w:val="both"/>
        <w:rPr>
          <w:lang w:val="en-US"/>
        </w:rPr>
      </w:pPr>
    </w:p>
    <w:p w:rsidR="003D7302" w:rsidRDefault="003D7302" w:rsidP="00C35ECD">
      <w:pPr>
        <w:pStyle w:val="Default"/>
        <w:spacing w:line="360" w:lineRule="auto"/>
        <w:jc w:val="both"/>
        <w:rPr>
          <w:lang w:val="en-US"/>
        </w:rPr>
      </w:pPr>
    </w:p>
    <w:p w:rsidR="003D7302" w:rsidRDefault="003D7302" w:rsidP="00C35ECD">
      <w:pPr>
        <w:pStyle w:val="Default"/>
        <w:spacing w:line="360" w:lineRule="auto"/>
        <w:jc w:val="both"/>
        <w:rPr>
          <w:lang w:val="en-US"/>
        </w:rPr>
      </w:pPr>
    </w:p>
    <w:p w:rsidR="003D7302" w:rsidRDefault="003D7302" w:rsidP="00C35ECD">
      <w:pPr>
        <w:pStyle w:val="Default"/>
        <w:spacing w:line="360" w:lineRule="auto"/>
        <w:jc w:val="both"/>
        <w:rPr>
          <w:lang w:val="en-US"/>
        </w:rPr>
      </w:pPr>
    </w:p>
    <w:p w:rsidR="003D7302" w:rsidRDefault="003D7302" w:rsidP="00C35ECD">
      <w:pPr>
        <w:pStyle w:val="Default"/>
        <w:spacing w:line="360" w:lineRule="auto"/>
        <w:jc w:val="both"/>
        <w:rPr>
          <w:lang w:val="en-US"/>
        </w:rPr>
      </w:pPr>
    </w:p>
    <w:p w:rsidR="003D7302" w:rsidRPr="003A3761" w:rsidRDefault="003D7302" w:rsidP="00C35ECD">
      <w:pPr>
        <w:pStyle w:val="Default"/>
        <w:spacing w:line="360" w:lineRule="auto"/>
        <w:jc w:val="both"/>
        <w:rPr>
          <w:lang w:val="en-US"/>
        </w:rPr>
      </w:pPr>
    </w:p>
    <w:p w:rsidR="003D7302" w:rsidRDefault="003D7302">
      <w:pPr>
        <w:overflowPunct/>
        <w:autoSpaceDE/>
        <w:autoSpaceDN/>
        <w:adjustRightInd/>
        <w:textAlignment w:val="auto"/>
        <w:rPr>
          <w:rFonts w:ascii="Calibri" w:hAnsi="Calibri" w:cs="Calibri"/>
          <w:sz w:val="22"/>
          <w:szCs w:val="22"/>
          <w:lang w:val="en-US"/>
        </w:rPr>
      </w:pPr>
    </w:p>
    <w:p w:rsidR="003D7302" w:rsidRDefault="003D7302" w:rsidP="00527F86">
      <w:pPr>
        <w:pStyle w:val="NormalWeb"/>
        <w:spacing w:line="360" w:lineRule="auto"/>
        <w:ind w:left="640" w:hanging="640"/>
        <w:jc w:val="both"/>
        <w:rPr>
          <w:rFonts w:ascii="Arial" w:hAnsi="Arial" w:cs="Arial"/>
          <w:lang w:val="en-US"/>
        </w:rPr>
      </w:pPr>
      <w:r>
        <w:rPr>
          <w:rFonts w:ascii="Arial" w:hAnsi="Arial" w:cs="Arial"/>
          <w:lang w:val="en-US"/>
        </w:rPr>
        <w:t>Anexo 1</w:t>
      </w:r>
    </w:p>
    <w:p w:rsidR="003D7302" w:rsidRDefault="003D7302" w:rsidP="00527F86">
      <w:pPr>
        <w:pStyle w:val="NormalWeb"/>
        <w:spacing w:line="360" w:lineRule="auto"/>
        <w:ind w:left="640" w:hanging="640"/>
        <w:jc w:val="both"/>
        <w:rPr>
          <w:rFonts w:ascii="Arial" w:hAnsi="Arial" w:cs="Arial"/>
          <w:lang w:val="en-US"/>
        </w:rPr>
      </w:pPr>
      <w:r>
        <w:rPr>
          <w:rFonts w:ascii="Arial" w:hAnsi="Arial" w:cs="Arial"/>
          <w:lang w:val="en-US"/>
        </w:rPr>
        <w:t>REGISTRO NA ANVISA</w:t>
      </w:r>
      <w:r>
        <w:rPr>
          <w:rStyle w:val="FootnoteReference"/>
          <w:rFonts w:ascii="Arial" w:hAnsi="Arial"/>
          <w:lang w:val="en-US"/>
        </w:rPr>
        <w:footnoteReference w:id="3"/>
      </w:r>
    </w:p>
    <w:p w:rsidR="003D7302" w:rsidRDefault="003D7302" w:rsidP="00527F86">
      <w:pPr>
        <w:pStyle w:val="NormalWeb"/>
        <w:spacing w:line="360" w:lineRule="auto"/>
        <w:ind w:left="640" w:hanging="640"/>
        <w:jc w:val="both"/>
        <w:rPr>
          <w:rFonts w:ascii="Arial" w:hAnsi="Arial" w:cs="Arial"/>
          <w:lang w:val="en-US"/>
        </w:rPr>
      </w:pPr>
      <w:r w:rsidRPr="00866F51">
        <w:rPr>
          <w:rFonts w:ascii="Arial" w:hAnsi="Arial" w:cs="Arial"/>
          <w:noProof/>
        </w:rPr>
        <w:pict>
          <v:shape id="Imagem 1" o:spid="_x0000_i1025" type="#_x0000_t75" style="width:424.5pt;height:228.75pt;visibility:visible">
            <v:imagedata r:id="rId15" o:title=""/>
          </v:shape>
        </w:pict>
      </w:r>
    </w:p>
    <w:p w:rsidR="003D7302" w:rsidRDefault="003D7302" w:rsidP="00544EE0">
      <w:pPr>
        <w:overflowPunct/>
        <w:spacing w:line="360" w:lineRule="auto"/>
        <w:jc w:val="both"/>
        <w:textAlignment w:val="auto"/>
        <w:rPr>
          <w:rFonts w:cs="Arial"/>
          <w:b/>
          <w:bCs/>
          <w:szCs w:val="24"/>
        </w:rPr>
      </w:pPr>
    </w:p>
    <w:p w:rsidR="003D7302" w:rsidRDefault="003D7302" w:rsidP="00544EE0">
      <w:pPr>
        <w:overflowPunct/>
        <w:spacing w:line="360" w:lineRule="auto"/>
        <w:jc w:val="both"/>
        <w:textAlignment w:val="auto"/>
        <w:rPr>
          <w:rFonts w:cs="Arial"/>
          <w:b/>
          <w:bCs/>
          <w:szCs w:val="24"/>
        </w:rPr>
      </w:pPr>
    </w:p>
    <w:p w:rsidR="003D7302" w:rsidRDefault="003D7302" w:rsidP="00544EE0">
      <w:pPr>
        <w:overflowPunct/>
        <w:spacing w:line="360" w:lineRule="auto"/>
        <w:jc w:val="both"/>
        <w:textAlignment w:val="auto"/>
        <w:rPr>
          <w:rFonts w:cs="Arial"/>
          <w:szCs w:val="24"/>
        </w:rPr>
      </w:pPr>
      <w:r w:rsidRPr="003A3761">
        <w:rPr>
          <w:rFonts w:cs="Arial"/>
          <w:b/>
          <w:bCs/>
          <w:szCs w:val="24"/>
        </w:rPr>
        <w:t>Indicações de Bula</w:t>
      </w:r>
    </w:p>
    <w:p w:rsidR="003D7302" w:rsidRPr="0005304D" w:rsidRDefault="003D7302" w:rsidP="00544EE0">
      <w:pPr>
        <w:overflowPunct/>
        <w:spacing w:line="360" w:lineRule="auto"/>
        <w:jc w:val="both"/>
        <w:textAlignment w:val="auto"/>
        <w:rPr>
          <w:rFonts w:cs="Arial"/>
          <w:szCs w:val="24"/>
        </w:rPr>
      </w:pPr>
      <w:r w:rsidRPr="0005304D">
        <w:rPr>
          <w:rFonts w:cs="Arial"/>
          <w:b/>
          <w:bCs/>
          <w:szCs w:val="24"/>
        </w:rPr>
        <w:t xml:space="preserve">IRESSA </w:t>
      </w:r>
      <w:r w:rsidRPr="0005304D">
        <w:rPr>
          <w:rFonts w:cs="Arial"/>
          <w:szCs w:val="24"/>
        </w:rPr>
        <w:t>é indicado para o tratamento de primeira linha de pacientes com câncer de pulmão de não-pequenas células localmente avançado ou metastático, que têm mutações de ativação do receptor de fator de crescimento epidérmico tirosina quinase (EGFR).</w:t>
      </w:r>
    </w:p>
    <w:p w:rsidR="003D7302" w:rsidRDefault="003D7302" w:rsidP="00544EE0">
      <w:pPr>
        <w:overflowPunct/>
        <w:spacing w:line="360" w:lineRule="auto"/>
        <w:jc w:val="both"/>
        <w:textAlignment w:val="auto"/>
        <w:rPr>
          <w:rFonts w:cs="Arial"/>
          <w:szCs w:val="24"/>
        </w:rPr>
      </w:pPr>
      <w:r w:rsidRPr="0005304D">
        <w:rPr>
          <w:rFonts w:cs="Arial"/>
          <w:b/>
          <w:bCs/>
          <w:szCs w:val="24"/>
        </w:rPr>
        <w:t xml:space="preserve">IRESSA </w:t>
      </w:r>
      <w:r w:rsidRPr="0005304D">
        <w:rPr>
          <w:rFonts w:cs="Arial"/>
          <w:szCs w:val="24"/>
        </w:rPr>
        <w:t>é indicado para o tratamento de pacientes com câncer de pulmão de nãopequenas células (CPNPC) localmente avançado ou metastático, que receberam previamente quimioterapia ou que não são elegíveis para quimioterapia.</w:t>
      </w:r>
    </w:p>
    <w:p w:rsidR="003D7302" w:rsidRDefault="003D7302" w:rsidP="00544EE0">
      <w:pPr>
        <w:overflowPunct/>
        <w:spacing w:line="360" w:lineRule="auto"/>
        <w:jc w:val="both"/>
        <w:textAlignment w:val="auto"/>
        <w:rPr>
          <w:rFonts w:cs="Arial"/>
          <w:szCs w:val="24"/>
        </w:rPr>
      </w:pPr>
    </w:p>
    <w:p w:rsidR="003D7302" w:rsidRPr="00B76DF8" w:rsidRDefault="003D7302" w:rsidP="00544EE0">
      <w:pPr>
        <w:overflowPunct/>
        <w:spacing w:line="360" w:lineRule="auto"/>
        <w:jc w:val="both"/>
        <w:textAlignment w:val="auto"/>
        <w:rPr>
          <w:rFonts w:cs="Arial"/>
          <w:b/>
          <w:szCs w:val="24"/>
        </w:rPr>
      </w:pPr>
      <w:r w:rsidRPr="00B76DF8">
        <w:rPr>
          <w:rFonts w:cs="Arial"/>
          <w:b/>
          <w:szCs w:val="24"/>
        </w:rPr>
        <w:t>Advertências e precauções:</w:t>
      </w:r>
    </w:p>
    <w:p w:rsidR="003D7302" w:rsidRPr="00544EE0" w:rsidRDefault="003D7302" w:rsidP="00544EE0">
      <w:pPr>
        <w:overflowPunct/>
        <w:spacing w:line="360" w:lineRule="auto"/>
        <w:jc w:val="both"/>
        <w:textAlignment w:val="auto"/>
        <w:rPr>
          <w:rFonts w:cs="Arial"/>
          <w:szCs w:val="24"/>
        </w:rPr>
      </w:pPr>
      <w:r w:rsidRPr="00544EE0">
        <w:rPr>
          <w:rFonts w:cs="Arial"/>
          <w:szCs w:val="24"/>
        </w:rPr>
        <w:t xml:space="preserve">Ao considerar o uso de </w:t>
      </w:r>
      <w:r w:rsidRPr="00544EE0">
        <w:rPr>
          <w:rFonts w:cs="Arial"/>
          <w:b/>
          <w:bCs/>
          <w:szCs w:val="24"/>
        </w:rPr>
        <w:t xml:space="preserve">IRESSA </w:t>
      </w:r>
      <w:r w:rsidRPr="00544EE0">
        <w:rPr>
          <w:rFonts w:cs="Arial"/>
          <w:szCs w:val="24"/>
        </w:rPr>
        <w:t xml:space="preserve">como tratamento de primeira linha para CPNPC avançado ou metastático, é recomendado que a avaliação da mutação de EGFR do tecido tumoral seja feita para todos os pacientes. Ao avaliar o status da mutação de um paciente, é importante que uma metodologia robusta e bem validada seja escolhida para minimizar a possibilidade de determinações falso-positiva ou falso-negativa. Na indicação de primeira linha, </w:t>
      </w:r>
      <w:r w:rsidRPr="00544EE0">
        <w:rPr>
          <w:rFonts w:cs="Arial"/>
          <w:b/>
          <w:bCs/>
          <w:szCs w:val="24"/>
        </w:rPr>
        <w:t>IRESSA</w:t>
      </w:r>
      <w:r w:rsidRPr="00544EE0">
        <w:rPr>
          <w:rFonts w:cs="Arial"/>
          <w:szCs w:val="24"/>
        </w:rPr>
        <w:t xml:space="preserve"> não deve ser usado em preferência a quimioterapia combinada em pacientes com mutação negativa.</w:t>
      </w:r>
    </w:p>
    <w:p w:rsidR="003D7302" w:rsidRPr="00544EE0" w:rsidRDefault="003D7302" w:rsidP="00544EE0">
      <w:pPr>
        <w:overflowPunct/>
        <w:spacing w:line="360" w:lineRule="auto"/>
        <w:jc w:val="both"/>
        <w:textAlignment w:val="auto"/>
        <w:rPr>
          <w:rFonts w:cs="Arial"/>
          <w:szCs w:val="24"/>
        </w:rPr>
      </w:pPr>
      <w:r w:rsidRPr="00544EE0">
        <w:rPr>
          <w:rFonts w:cs="Arial"/>
          <w:szCs w:val="24"/>
        </w:rPr>
        <w:t xml:space="preserve">Doença intersticial pulmonar (DIP) que pode iniciar-se de forma aguda, foi observada em pacientes em uso de </w:t>
      </w:r>
      <w:r w:rsidRPr="00544EE0">
        <w:rPr>
          <w:rFonts w:cs="Arial"/>
          <w:b/>
          <w:bCs/>
          <w:szCs w:val="24"/>
        </w:rPr>
        <w:t xml:space="preserve">IRESSA </w:t>
      </w:r>
      <w:r w:rsidRPr="00544EE0">
        <w:rPr>
          <w:rFonts w:cs="Arial"/>
          <w:szCs w:val="24"/>
        </w:rPr>
        <w:t xml:space="preserve">e alguns casos foram fatais. Se o paciente apresentar piora dos sintomas respiratórios como dispneia, tosse e febre, </w:t>
      </w:r>
      <w:r w:rsidRPr="00544EE0">
        <w:rPr>
          <w:rFonts w:cs="Arial"/>
          <w:b/>
          <w:bCs/>
          <w:szCs w:val="24"/>
        </w:rPr>
        <w:t xml:space="preserve">IRESSA </w:t>
      </w:r>
      <w:r w:rsidRPr="00544EE0">
        <w:rPr>
          <w:rFonts w:cs="Arial"/>
          <w:szCs w:val="24"/>
        </w:rPr>
        <w:t xml:space="preserve">deve ser interrompido e a investigação deve ser iniciada. Se a doença intersticial pulmonar for confirmada, </w:t>
      </w:r>
      <w:r w:rsidRPr="00544EE0">
        <w:rPr>
          <w:rFonts w:cs="Arial"/>
          <w:b/>
          <w:bCs/>
          <w:szCs w:val="24"/>
        </w:rPr>
        <w:t>IRESSA</w:t>
      </w:r>
      <w:r w:rsidRPr="00544EE0">
        <w:rPr>
          <w:rFonts w:cs="Arial"/>
          <w:szCs w:val="24"/>
        </w:rPr>
        <w:t xml:space="preserve"> deve ser descontinuado e o paciente deve ser tratado adequadamente. Em um estudo controle fármaco-epidemiológico japonês (ver item “Reações adversas a medicamentos”) com 3159 pacientes com CPNPC que foram acompanhados durante 12 semanas recebendo </w:t>
      </w:r>
      <w:r w:rsidRPr="00544EE0">
        <w:rPr>
          <w:rFonts w:cs="Arial"/>
          <w:b/>
          <w:bCs/>
          <w:szCs w:val="24"/>
        </w:rPr>
        <w:t xml:space="preserve">IRESSA </w:t>
      </w:r>
      <w:r w:rsidRPr="00544EE0">
        <w:rPr>
          <w:rFonts w:cs="Arial"/>
          <w:szCs w:val="24"/>
        </w:rPr>
        <w:t xml:space="preserve">ou quimioterapia, os seguintes fatores de risco para o desenvolvimento de DIP (independentemente se o paciente recebeu </w:t>
      </w:r>
      <w:r w:rsidRPr="00544EE0">
        <w:rPr>
          <w:rFonts w:cs="Arial"/>
          <w:b/>
          <w:bCs/>
          <w:szCs w:val="24"/>
        </w:rPr>
        <w:t xml:space="preserve">IRESSA </w:t>
      </w:r>
      <w:r w:rsidRPr="00544EE0">
        <w:rPr>
          <w:rFonts w:cs="Arial"/>
          <w:szCs w:val="24"/>
        </w:rPr>
        <w:t xml:space="preserve">ou  quimioterapia) foram identificados: tabagismo, performance </w:t>
      </w:r>
      <w:r w:rsidRPr="00544EE0">
        <w:rPr>
          <w:rFonts w:cs="Arial"/>
          <w:i/>
          <w:iCs/>
          <w:szCs w:val="24"/>
        </w:rPr>
        <w:t xml:space="preserve">status </w:t>
      </w:r>
      <w:r w:rsidRPr="00544EE0">
        <w:rPr>
          <w:rFonts w:cs="Arial"/>
          <w:szCs w:val="24"/>
        </w:rPr>
        <w:t xml:space="preserve">pobre (PS </w:t>
      </w:r>
      <w:r>
        <w:rPr>
          <w:rFonts w:cs="Arial"/>
          <w:szCs w:val="24"/>
        </w:rPr>
        <w:t>≥</w:t>
      </w:r>
      <w:r w:rsidRPr="00544EE0">
        <w:rPr>
          <w:rFonts w:cs="Arial"/>
          <w:szCs w:val="24"/>
        </w:rPr>
        <w:t xml:space="preserve"> 2), redução de áreas pulmonares normais (</w:t>
      </w:r>
      <w:r>
        <w:rPr>
          <w:rFonts w:cs="Arial"/>
          <w:szCs w:val="24"/>
        </w:rPr>
        <w:t>≤</w:t>
      </w:r>
      <w:r w:rsidRPr="00544EE0">
        <w:rPr>
          <w:rFonts w:cs="Arial"/>
          <w:szCs w:val="24"/>
        </w:rPr>
        <w:t xml:space="preserve"> 50%) evidenciada por tomografia computadorizada,diagnóstico recente para CPNPC (&lt;6 meses), DIP pré-existente, idade avançada (</w:t>
      </w:r>
      <w:r>
        <w:rPr>
          <w:rFonts w:cs="Arial"/>
          <w:szCs w:val="24"/>
        </w:rPr>
        <w:t>≥</w:t>
      </w:r>
      <w:r w:rsidRPr="00544EE0">
        <w:rPr>
          <w:rFonts w:cs="Arial"/>
          <w:szCs w:val="24"/>
        </w:rPr>
        <w:t xml:space="preserve"> 55anos) e doença cardíaca concomitante. O risco de mortalidade entre os pacientes que desenvolveram DIP em ambos os tratamentos foi maior em pacientes com os seguintes fatores de risco: tabagismo, redução de áreas pulmonares normais (</w:t>
      </w:r>
      <w:r>
        <w:rPr>
          <w:rFonts w:cs="Arial"/>
          <w:szCs w:val="24"/>
        </w:rPr>
        <w:t>≤</w:t>
      </w:r>
      <w:r w:rsidRPr="00544EE0">
        <w:rPr>
          <w:rFonts w:cs="Arial"/>
          <w:szCs w:val="24"/>
        </w:rPr>
        <w:t xml:space="preserve"> 50%) evidenciada portomografia computadorizada, DIP pré-existente, idade avançada (</w:t>
      </w:r>
      <w:r>
        <w:rPr>
          <w:rFonts w:cs="Arial"/>
          <w:szCs w:val="24"/>
        </w:rPr>
        <w:t>≥</w:t>
      </w:r>
      <w:r w:rsidRPr="00544EE0">
        <w:rPr>
          <w:rFonts w:cs="Arial"/>
          <w:szCs w:val="24"/>
        </w:rPr>
        <w:t xml:space="preserve"> 65 anos), e extensas áreas de aderência pleural (</w:t>
      </w:r>
      <w:r>
        <w:rPr>
          <w:rFonts w:cs="Arial"/>
          <w:szCs w:val="24"/>
        </w:rPr>
        <w:t>≥</w:t>
      </w:r>
      <w:r w:rsidRPr="00544EE0">
        <w:rPr>
          <w:rFonts w:cs="Arial"/>
          <w:szCs w:val="24"/>
        </w:rPr>
        <w:t xml:space="preserve"> 50%).</w:t>
      </w:r>
    </w:p>
    <w:p w:rsidR="003D7302" w:rsidRPr="00544EE0" w:rsidRDefault="003D7302" w:rsidP="00544EE0">
      <w:pPr>
        <w:overflowPunct/>
        <w:spacing w:line="360" w:lineRule="auto"/>
        <w:jc w:val="both"/>
        <w:textAlignment w:val="auto"/>
        <w:rPr>
          <w:rFonts w:cs="Arial"/>
          <w:szCs w:val="24"/>
        </w:rPr>
      </w:pPr>
      <w:r w:rsidRPr="00544EE0">
        <w:rPr>
          <w:rFonts w:cs="Arial"/>
          <w:szCs w:val="24"/>
        </w:rPr>
        <w:t xml:space="preserve">Foram observadas anormalidades de testes da função hepática (incluindo aumento dealanina aminotrasferase, aspartatoaminotrasferase e bilirrubina), raramente apresentadas como hepatite. Houve relatos isolados de falência hepática, que em alguns casos, levou a óbito. Portanto, é recomendado teste periódico da função hepática. </w:t>
      </w:r>
      <w:r w:rsidRPr="00544EE0">
        <w:rPr>
          <w:rFonts w:cs="Arial"/>
          <w:b/>
          <w:bCs/>
          <w:szCs w:val="24"/>
        </w:rPr>
        <w:t xml:space="preserve">IRESSA </w:t>
      </w:r>
      <w:r w:rsidRPr="00544EE0">
        <w:rPr>
          <w:rFonts w:cs="Arial"/>
          <w:szCs w:val="24"/>
        </w:rPr>
        <w:t>deve ser usado com cautela na presença de alterações da função hepática leves a moderadas. Deve ser considerada a descontinuação em casos de alterações graves.</w:t>
      </w:r>
    </w:p>
    <w:p w:rsidR="003D7302" w:rsidRPr="00544EE0" w:rsidRDefault="003D7302" w:rsidP="00544EE0">
      <w:pPr>
        <w:overflowPunct/>
        <w:spacing w:line="360" w:lineRule="auto"/>
        <w:jc w:val="both"/>
        <w:textAlignment w:val="auto"/>
        <w:rPr>
          <w:rFonts w:cs="Arial"/>
          <w:szCs w:val="24"/>
        </w:rPr>
      </w:pPr>
      <w:r w:rsidRPr="00544EE0">
        <w:rPr>
          <w:rFonts w:cs="Arial"/>
          <w:szCs w:val="24"/>
        </w:rPr>
        <w:t xml:space="preserve">Eventos cerebrovasculares foram relatados nos estudos clínicos de </w:t>
      </w:r>
      <w:r w:rsidRPr="00544EE0">
        <w:rPr>
          <w:rFonts w:cs="Arial"/>
          <w:b/>
          <w:bCs/>
          <w:szCs w:val="24"/>
        </w:rPr>
        <w:t>IRESSA</w:t>
      </w:r>
      <w:r w:rsidRPr="00544EE0">
        <w:rPr>
          <w:rFonts w:cs="Arial"/>
          <w:szCs w:val="24"/>
        </w:rPr>
        <w:t xml:space="preserve">. Não foi estabelecida uma relação com </w:t>
      </w:r>
      <w:r w:rsidRPr="00544EE0">
        <w:rPr>
          <w:rFonts w:cs="Arial"/>
          <w:b/>
          <w:bCs/>
          <w:szCs w:val="24"/>
        </w:rPr>
        <w:t>IRESSA</w:t>
      </w:r>
      <w:r w:rsidRPr="00544EE0">
        <w:rPr>
          <w:rFonts w:cs="Arial"/>
          <w:szCs w:val="24"/>
        </w:rPr>
        <w:t>.</w:t>
      </w:r>
    </w:p>
    <w:p w:rsidR="003D7302" w:rsidRPr="00544EE0" w:rsidRDefault="003D7302" w:rsidP="00544EE0">
      <w:pPr>
        <w:overflowPunct/>
        <w:spacing w:line="360" w:lineRule="auto"/>
        <w:jc w:val="both"/>
        <w:textAlignment w:val="auto"/>
        <w:rPr>
          <w:rFonts w:cs="Arial"/>
          <w:szCs w:val="24"/>
        </w:rPr>
      </w:pPr>
      <w:r w:rsidRPr="00544EE0">
        <w:rPr>
          <w:rFonts w:cs="Arial"/>
          <w:szCs w:val="24"/>
        </w:rPr>
        <w:t>Substâncias indutoras da atividade do CYP3A4 podem aumentar o metabolismo e diminuir as concentrações plasmáticas do gefitinibe. Portanto, o uso concomitante com indutores do CYP3A4 (por exemplo, fenitoína, carbamazepina, rifampicina, barbitúricos ou erva de São João) pode reduzir a eficácia do gefitinibe.</w:t>
      </w:r>
    </w:p>
    <w:p w:rsidR="003D7302" w:rsidRPr="00544EE0" w:rsidRDefault="003D7302" w:rsidP="00544EE0">
      <w:pPr>
        <w:overflowPunct/>
        <w:spacing w:line="360" w:lineRule="auto"/>
        <w:jc w:val="both"/>
        <w:textAlignment w:val="auto"/>
        <w:rPr>
          <w:rFonts w:cs="Arial"/>
          <w:szCs w:val="24"/>
        </w:rPr>
      </w:pPr>
      <w:r w:rsidRPr="00544EE0">
        <w:rPr>
          <w:rFonts w:cs="Arial"/>
          <w:szCs w:val="24"/>
        </w:rPr>
        <w:t>Elevações do INR (</w:t>
      </w:r>
      <w:r w:rsidRPr="00544EE0">
        <w:rPr>
          <w:rFonts w:cs="Arial"/>
          <w:i/>
          <w:iCs/>
          <w:szCs w:val="24"/>
        </w:rPr>
        <w:t>InternationalNormalisedRatio</w:t>
      </w:r>
      <w:r w:rsidRPr="00544EE0">
        <w:rPr>
          <w:rFonts w:cs="Arial"/>
          <w:szCs w:val="24"/>
        </w:rPr>
        <w:t>) e/ou eventos de sangramento foram relatados em alguns pacientes em uso de varfarina. Esses pacientes devem ser regularmente monitorados para detecção de alterações do tempo de protrombina (TP) ou INR.</w:t>
      </w:r>
    </w:p>
    <w:p w:rsidR="003D7302" w:rsidRPr="00544EE0" w:rsidRDefault="003D7302" w:rsidP="00544EE0">
      <w:pPr>
        <w:overflowPunct/>
        <w:spacing w:line="360" w:lineRule="auto"/>
        <w:jc w:val="both"/>
        <w:textAlignment w:val="auto"/>
        <w:rPr>
          <w:rFonts w:cs="Arial"/>
          <w:szCs w:val="24"/>
        </w:rPr>
      </w:pPr>
      <w:r w:rsidRPr="00544EE0">
        <w:rPr>
          <w:rFonts w:cs="Arial"/>
          <w:szCs w:val="24"/>
        </w:rPr>
        <w:t>Substâncias que causam elevações prolongadas significativas do pH gástrico podem reduzir as concentrações plasmáticas do gefitinibe, podendo, consequentemente, reduzir sua eficácia.</w:t>
      </w:r>
    </w:p>
    <w:p w:rsidR="003D7302" w:rsidRPr="00544EE0" w:rsidRDefault="003D7302" w:rsidP="00544EE0">
      <w:pPr>
        <w:overflowPunct/>
        <w:spacing w:line="360" w:lineRule="auto"/>
        <w:jc w:val="both"/>
        <w:textAlignment w:val="auto"/>
        <w:rPr>
          <w:rFonts w:cs="Arial"/>
          <w:szCs w:val="24"/>
        </w:rPr>
      </w:pPr>
      <w:r w:rsidRPr="00544EE0">
        <w:rPr>
          <w:rFonts w:cs="Arial"/>
          <w:szCs w:val="24"/>
        </w:rPr>
        <w:t>Os pacientes devem ser aconselhados a procurar imediatamente orientação médica caso ocorra:</w:t>
      </w:r>
    </w:p>
    <w:p w:rsidR="003D7302" w:rsidRPr="00544EE0" w:rsidRDefault="003D7302" w:rsidP="00544EE0">
      <w:pPr>
        <w:overflowPunct/>
        <w:spacing w:line="360" w:lineRule="auto"/>
        <w:jc w:val="both"/>
        <w:textAlignment w:val="auto"/>
        <w:rPr>
          <w:rFonts w:cs="Arial"/>
          <w:szCs w:val="24"/>
        </w:rPr>
      </w:pPr>
      <w:r w:rsidRPr="00544EE0">
        <w:rPr>
          <w:rFonts w:cs="Arial"/>
          <w:szCs w:val="24"/>
        </w:rPr>
        <w:t>- diarréia grave ou persistente, náusea, vômito ou anorexia. Tais sintomas devem ser tratados conforme indicação clínica.</w:t>
      </w:r>
    </w:p>
    <w:p w:rsidR="003D7302" w:rsidRPr="00544EE0" w:rsidRDefault="003D7302" w:rsidP="00544EE0">
      <w:pPr>
        <w:overflowPunct/>
        <w:spacing w:line="360" w:lineRule="auto"/>
        <w:jc w:val="both"/>
        <w:textAlignment w:val="auto"/>
        <w:rPr>
          <w:rFonts w:cs="Arial"/>
          <w:szCs w:val="24"/>
        </w:rPr>
      </w:pPr>
      <w:r w:rsidRPr="00544EE0">
        <w:rPr>
          <w:rFonts w:cs="Arial"/>
          <w:szCs w:val="24"/>
        </w:rPr>
        <w:t xml:space="preserve">Os pacientes que apresentam sinais e sintomas sugestivos de ceratite aguda ou grave, tais como inflamação ocular, lacrimejamento, sensibilidade à luz, visão turva, dor e/ou vermelhidão ocular devem ser encaminhados imediatamente para um oftalmologista. Se o diagnóstico de ceratite ulcerativa for confirmado, o tratamento com </w:t>
      </w:r>
      <w:r w:rsidRPr="00544EE0">
        <w:rPr>
          <w:rFonts w:cs="Arial"/>
          <w:b/>
          <w:bCs/>
          <w:szCs w:val="24"/>
        </w:rPr>
        <w:t xml:space="preserve">IRESSA </w:t>
      </w:r>
      <w:r w:rsidRPr="00544EE0">
        <w:rPr>
          <w:rFonts w:cs="Arial"/>
          <w:szCs w:val="24"/>
        </w:rPr>
        <w:t xml:space="preserve">deve ser interrompido, Se os sintomas não desaparecerem ou se reaparecerem com a reintrodução de </w:t>
      </w:r>
      <w:r w:rsidRPr="00544EE0">
        <w:rPr>
          <w:rFonts w:cs="Arial"/>
          <w:b/>
          <w:bCs/>
          <w:szCs w:val="24"/>
        </w:rPr>
        <w:t xml:space="preserve">IRESSA </w:t>
      </w:r>
      <w:r w:rsidRPr="00544EE0">
        <w:rPr>
          <w:rFonts w:cs="Arial"/>
          <w:szCs w:val="24"/>
        </w:rPr>
        <w:t>a interrupção permanente deve ser considerada.</w:t>
      </w:r>
    </w:p>
    <w:p w:rsidR="003D7302" w:rsidRPr="00544EE0" w:rsidRDefault="003D7302" w:rsidP="00544EE0">
      <w:pPr>
        <w:overflowPunct/>
        <w:spacing w:line="360" w:lineRule="auto"/>
        <w:jc w:val="both"/>
        <w:textAlignment w:val="auto"/>
        <w:rPr>
          <w:rFonts w:cs="Arial"/>
          <w:szCs w:val="24"/>
        </w:rPr>
      </w:pPr>
      <w:r w:rsidRPr="00544EE0">
        <w:rPr>
          <w:rFonts w:cs="Arial"/>
          <w:szCs w:val="24"/>
        </w:rPr>
        <w:t xml:space="preserve">Dados de estudo clínico de fase II, onde </w:t>
      </w:r>
      <w:r w:rsidRPr="00544EE0">
        <w:rPr>
          <w:rFonts w:cs="Arial"/>
          <w:b/>
          <w:bCs/>
          <w:szCs w:val="24"/>
        </w:rPr>
        <w:t xml:space="preserve">IRESSA </w:t>
      </w:r>
      <w:r w:rsidRPr="00544EE0">
        <w:rPr>
          <w:rFonts w:cs="Arial"/>
          <w:szCs w:val="24"/>
        </w:rPr>
        <w:t xml:space="preserve">e vinorelbina foram usados concomitantemente, indicaram que </w:t>
      </w:r>
      <w:r w:rsidRPr="00544EE0">
        <w:rPr>
          <w:rFonts w:cs="Arial"/>
          <w:b/>
          <w:bCs/>
          <w:szCs w:val="24"/>
        </w:rPr>
        <w:t xml:space="preserve">IRESSA </w:t>
      </w:r>
      <w:r w:rsidRPr="00544EE0">
        <w:rPr>
          <w:rFonts w:cs="Arial"/>
          <w:szCs w:val="24"/>
        </w:rPr>
        <w:t>pode exacerbar o efeito neutropênico davinorelbina.</w:t>
      </w:r>
    </w:p>
    <w:p w:rsidR="003D7302" w:rsidRPr="00544EE0" w:rsidRDefault="003D7302" w:rsidP="00544EE0">
      <w:pPr>
        <w:overflowPunct/>
        <w:spacing w:line="360" w:lineRule="auto"/>
        <w:jc w:val="both"/>
        <w:textAlignment w:val="auto"/>
        <w:rPr>
          <w:rFonts w:cs="Arial"/>
          <w:szCs w:val="24"/>
        </w:rPr>
      </w:pPr>
      <w:r w:rsidRPr="00544EE0">
        <w:rPr>
          <w:rFonts w:cs="Arial"/>
          <w:szCs w:val="24"/>
        </w:rPr>
        <w:t xml:space="preserve">Perfuração gastrointestinal foi relatada em pacientes tomando </w:t>
      </w:r>
      <w:r w:rsidRPr="00544EE0">
        <w:rPr>
          <w:rFonts w:cs="Arial"/>
          <w:b/>
          <w:bCs/>
          <w:szCs w:val="24"/>
        </w:rPr>
        <w:t>IRESSA</w:t>
      </w:r>
      <w:r w:rsidRPr="00544EE0">
        <w:rPr>
          <w:rFonts w:cs="Arial"/>
          <w:szCs w:val="24"/>
        </w:rPr>
        <w:t>. Na maioria dos casos está associada a outros fatores de risco conhecidos, incluindo o aumento da idade, medicações concomitantes, tais como esteróides ou AINEs, histórico subjacente de ulceração GI, fumar, ou metástases intestinais em locais de perfuração.</w:t>
      </w:r>
    </w:p>
    <w:p w:rsidR="003D7302" w:rsidRPr="00544EE0" w:rsidRDefault="003D7302" w:rsidP="00544EE0">
      <w:pPr>
        <w:overflowPunct/>
        <w:spacing w:line="360" w:lineRule="auto"/>
        <w:jc w:val="both"/>
        <w:textAlignment w:val="auto"/>
        <w:rPr>
          <w:rFonts w:cs="Arial"/>
          <w:b/>
          <w:bCs/>
          <w:szCs w:val="24"/>
        </w:rPr>
      </w:pPr>
      <w:r w:rsidRPr="00544EE0">
        <w:rPr>
          <w:rFonts w:cs="Arial"/>
          <w:b/>
          <w:bCs/>
          <w:szCs w:val="24"/>
        </w:rPr>
        <w:t>Efeitos sobre a capacidade de dirigir veículos e operar máquinas</w:t>
      </w:r>
    </w:p>
    <w:p w:rsidR="003D7302" w:rsidRPr="00544EE0" w:rsidRDefault="003D7302" w:rsidP="00544EE0">
      <w:pPr>
        <w:overflowPunct/>
        <w:spacing w:line="360" w:lineRule="auto"/>
        <w:jc w:val="both"/>
        <w:textAlignment w:val="auto"/>
        <w:rPr>
          <w:rFonts w:cs="Arial"/>
          <w:szCs w:val="24"/>
        </w:rPr>
      </w:pPr>
      <w:r w:rsidRPr="00544EE0">
        <w:rPr>
          <w:rFonts w:cs="Arial"/>
          <w:szCs w:val="24"/>
        </w:rPr>
        <w:t xml:space="preserve">Foi relatada astenia durante o tratamento com </w:t>
      </w:r>
      <w:r w:rsidRPr="00544EE0">
        <w:rPr>
          <w:rFonts w:cs="Arial"/>
          <w:b/>
          <w:bCs/>
          <w:szCs w:val="24"/>
        </w:rPr>
        <w:t xml:space="preserve">IRESSA </w:t>
      </w:r>
      <w:r w:rsidRPr="00544EE0">
        <w:rPr>
          <w:rFonts w:cs="Arial"/>
          <w:szCs w:val="24"/>
        </w:rPr>
        <w:t xml:space="preserve">e os pacientes que apresentam esses sintomas devem ter cautela ao dirigir veículos ou operar máquinas. </w:t>
      </w:r>
      <w:r>
        <w:rPr>
          <w:rStyle w:val="FootnoteReference"/>
          <w:szCs w:val="24"/>
        </w:rPr>
        <w:footnoteReference w:id="4"/>
      </w:r>
      <w:r w:rsidRPr="008849A6">
        <w:rPr>
          <w:rFonts w:cs="Arial"/>
          <w:szCs w:val="24"/>
          <w:vertAlign w:val="superscript"/>
        </w:rPr>
        <w:t>,</w:t>
      </w:r>
      <w:r>
        <w:rPr>
          <w:rStyle w:val="FootnoteReference"/>
          <w:szCs w:val="24"/>
        </w:rPr>
        <w:footnoteReference w:id="5"/>
      </w:r>
    </w:p>
    <w:p w:rsidR="003D7302" w:rsidRPr="001424DF" w:rsidRDefault="003D7302" w:rsidP="00527F86">
      <w:pPr>
        <w:pStyle w:val="NormalWeb"/>
        <w:spacing w:line="360" w:lineRule="auto"/>
        <w:ind w:left="640" w:hanging="640"/>
        <w:jc w:val="both"/>
        <w:rPr>
          <w:rFonts w:ascii="Arial" w:hAnsi="Arial" w:cs="Arial"/>
        </w:rPr>
      </w:pPr>
    </w:p>
    <w:sectPr w:rsidR="003D7302" w:rsidRPr="001424DF" w:rsidSect="00BB5F21">
      <w:footerReference w:type="default" r:id="rId16"/>
      <w:footnotePr>
        <w:numFmt w:val="lowerLetter"/>
      </w:footnotePr>
      <w:pgSz w:w="11905" w:h="16837"/>
      <w:pgMar w:top="1417" w:right="1701" w:bottom="1417" w:left="1701" w:header="720" w:footer="720" w:gutter="0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D7302" w:rsidRDefault="003D7302" w:rsidP="00F25569">
      <w:r>
        <w:separator/>
      </w:r>
    </w:p>
  </w:endnote>
  <w:endnote w:type="continuationSeparator" w:id="1">
    <w:p w:rsidR="003D7302" w:rsidRDefault="003D7302" w:rsidP="00F2556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ms Rmn">
    <w:panose1 w:val="02020603040505020304"/>
    <w:charset w:val="00"/>
    <w:family w:val="roman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Bangkok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MS ??">
    <w:panose1 w:val="00000000000000000000"/>
    <w:charset w:val="80"/>
    <w:family w:val="auto"/>
    <w:notTrueType/>
    <w:pitch w:val="variable"/>
    <w:sig w:usb0="00000001" w:usb1="08070000" w:usb2="00000010" w:usb3="00000000" w:csb0="00020000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D7302" w:rsidRDefault="003D7302">
    <w:pPr>
      <w:pStyle w:val="Footer"/>
      <w:ind w:right="360"/>
    </w:pPr>
    <w:r>
      <w:rPr>
        <w:noProof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Caixa de texto 1" o:spid="_x0000_s2049" type="#_x0000_t202" style="position:absolute;margin-left:483pt;margin-top:.05pt;width:27.15pt;height:13.75pt;z-index:251660288;visibility:visible;mso-wrap-distance-left:0;mso-wrap-distance-right:0;mso-position-horizontal-relative:page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" stroked="f">
          <v:fill opacity="0"/>
          <v:textbox inset="0,0,0,0">
            <w:txbxContent>
              <w:p w:rsidR="003D7302" w:rsidRDefault="003D7302">
                <w:pPr>
                  <w:pStyle w:val="Footer"/>
                </w:pPr>
                <w:r>
                  <w:rPr>
                    <w:rStyle w:val="PageNumber"/>
                  </w:rPr>
                  <w:fldChar w:fldCharType="begin"/>
                </w:r>
                <w:r>
                  <w:rPr>
                    <w:rStyle w:val="PageNumber"/>
                  </w:rPr>
                  <w:instrText xml:space="preserve"> PAGE </w:instrText>
                </w:r>
                <w:r>
                  <w:rPr>
                    <w:rStyle w:val="PageNumber"/>
                  </w:rPr>
                  <w:fldChar w:fldCharType="separate"/>
                </w:r>
                <w:r>
                  <w:rPr>
                    <w:rStyle w:val="PageNumber"/>
                    <w:noProof/>
                  </w:rPr>
                  <w:t>2</w:t>
                </w:r>
                <w:r>
                  <w:rPr>
                    <w:rStyle w:val="PageNumber"/>
                  </w:rPr>
                  <w:fldChar w:fldCharType="end"/>
                </w:r>
              </w:p>
            </w:txbxContent>
          </v:textbox>
          <w10:wrap type="square" side="largest" anchorx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D7302" w:rsidRDefault="003D7302" w:rsidP="00F25569">
      <w:r>
        <w:separator/>
      </w:r>
    </w:p>
  </w:footnote>
  <w:footnote w:type="continuationSeparator" w:id="1">
    <w:p w:rsidR="003D7302" w:rsidRDefault="003D7302" w:rsidP="00F25569">
      <w:r>
        <w:continuationSeparator/>
      </w:r>
    </w:p>
  </w:footnote>
  <w:footnote w:id="2">
    <w:p w:rsidR="003D7302" w:rsidRDefault="003D7302">
      <w:pPr>
        <w:pStyle w:val="FootnoteText"/>
      </w:pPr>
      <w:r>
        <w:rPr>
          <w:rStyle w:val="FootnoteReference"/>
        </w:rPr>
        <w:footnoteRef/>
      </w:r>
      <w:r w:rsidRPr="00A8748B">
        <w:rPr>
          <w:rFonts w:cs="Arial"/>
          <w:sz w:val="18"/>
          <w:szCs w:val="18"/>
        </w:rPr>
        <w:t>Preço fábrica dos medicamentos, obtido no po</w:t>
      </w:r>
      <w:r>
        <w:rPr>
          <w:rFonts w:cs="Arial"/>
          <w:sz w:val="18"/>
          <w:szCs w:val="18"/>
        </w:rPr>
        <w:t>rtal da ANVISA, atualizado em 21/10/2013</w:t>
      </w:r>
      <w:r w:rsidRPr="00A8748B">
        <w:rPr>
          <w:rFonts w:cs="Arial"/>
          <w:sz w:val="18"/>
          <w:szCs w:val="18"/>
        </w:rPr>
        <w:t>, disponível em  http://portal.anvisa.gov.br/wps/wcm/connect/452b2500418d0d5a85c89dde61db78cc/LISTA+CONFORMIDADE_2013-10-21.pdf?MOD=AJPERES</w:t>
      </w:r>
    </w:p>
  </w:footnote>
  <w:footnote w:id="3">
    <w:p w:rsidR="003D7302" w:rsidRDefault="003D7302">
      <w:pPr>
        <w:pStyle w:val="FootnoteText"/>
      </w:pPr>
      <w:r>
        <w:rPr>
          <w:rStyle w:val="FootnoteReference"/>
        </w:rPr>
        <w:footnoteRef/>
      </w:r>
      <w:r>
        <w:t xml:space="preserve"> Disponível em: </w:t>
      </w:r>
      <w:r w:rsidRPr="00086783">
        <w:t>http://www7.anvisa.gov.br/datavisa/consulta_produto/rconsulta_produto_detalhe.asp</w:t>
      </w:r>
    </w:p>
  </w:footnote>
  <w:footnote w:id="4">
    <w:p w:rsidR="003D7302" w:rsidRDefault="003D7302" w:rsidP="00544EE0">
      <w:pPr>
        <w:pStyle w:val="FootnoteText"/>
      </w:pPr>
      <w:r>
        <w:rPr>
          <w:rStyle w:val="FootnoteReference"/>
        </w:rPr>
        <w:footnoteRef/>
      </w:r>
      <w:r>
        <w:t xml:space="preserve"> Foi suprimida a descrição de bula que se refere à utilização em pacientes pediátricos, gestantes e lactentes.</w:t>
      </w:r>
    </w:p>
  </w:footnote>
  <w:footnote w:id="5">
    <w:p w:rsidR="003D7302" w:rsidRDefault="003D7302">
      <w:pPr>
        <w:pStyle w:val="FootnoteText"/>
      </w:pPr>
      <w:r>
        <w:rPr>
          <w:rStyle w:val="FootnoteReference"/>
        </w:rPr>
        <w:footnoteRef/>
      </w:r>
      <w:r>
        <w:t xml:space="preserve">Bula do medicamento Iressa, disponível em </w:t>
      </w:r>
      <w:hyperlink r:id="rId1" w:history="1">
        <w:r w:rsidRPr="0099718A">
          <w:rPr>
            <w:rStyle w:val="Hyperlink"/>
          </w:rPr>
          <w:t>http://www.google.com.br/url?sa=t&amp;rct=j&amp;q=&amp;esrc=s&amp;source=web&amp;cd=1&amp;sqi=2&amp;ved=0CC8QFjAA&amp;url=http%3A%2F%2Fwww.4bio.com.br%2Fdownload%2Fpdf%2F172%2F172-iressa.pdf%2F&amp;ei=aUazUJKuJYei8gTj84C4Cg&amp;usg=AFQjCNFzgbf4PValyi_JHBoQUVX2qaJskw&amp;sig2=qqI3roHVLpDuVVcxB_ZV_A</w:t>
        </w:r>
      </w:hyperlink>
      <w:r>
        <w:t>, acesso em 05/11/2013</w:t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B"/>
    <w:multiLevelType w:val="multilevel"/>
    <w:tmpl w:val="E3E6ABEE"/>
    <w:lvl w:ilvl="0">
      <w:start w:val="1"/>
      <w:numFmt w:val="decimal"/>
      <w:pStyle w:val="Heading1"/>
      <w:lvlText w:val="%1."/>
      <w:legacy w:legacy="1" w:legacySpace="0" w:legacyIndent="708"/>
      <w:lvlJc w:val="left"/>
      <w:pPr>
        <w:ind w:left="708" w:hanging="708"/>
      </w:pPr>
      <w:rPr>
        <w:rFonts w:cs="Times New Roman"/>
      </w:rPr>
    </w:lvl>
    <w:lvl w:ilvl="1">
      <w:start w:val="1"/>
      <w:numFmt w:val="decimal"/>
      <w:pStyle w:val="Heading2"/>
      <w:lvlText w:val="%1.%2."/>
      <w:legacy w:legacy="1" w:legacySpace="0" w:legacyIndent="708"/>
      <w:lvlJc w:val="left"/>
      <w:pPr>
        <w:ind w:left="1418" w:hanging="708"/>
      </w:pPr>
      <w:rPr>
        <w:rFonts w:cs="Times New Roman"/>
      </w:rPr>
    </w:lvl>
    <w:lvl w:ilvl="2">
      <w:start w:val="1"/>
      <w:numFmt w:val="decimal"/>
      <w:pStyle w:val="Heading3"/>
      <w:lvlText w:val="%1.%2.%3."/>
      <w:legacy w:legacy="1" w:legacySpace="0" w:legacyIndent="708"/>
      <w:lvlJc w:val="left"/>
      <w:pPr>
        <w:ind w:left="2124" w:hanging="708"/>
      </w:pPr>
      <w:rPr>
        <w:rFonts w:cs="Times New Roman"/>
      </w:rPr>
    </w:lvl>
    <w:lvl w:ilvl="3">
      <w:start w:val="1"/>
      <w:numFmt w:val="decimal"/>
      <w:pStyle w:val="Heading4"/>
      <w:lvlText w:val="%1.%2.%3.%4."/>
      <w:legacy w:legacy="1" w:legacySpace="0" w:legacyIndent="708"/>
      <w:lvlJc w:val="left"/>
      <w:pPr>
        <w:ind w:left="2832" w:hanging="708"/>
      </w:pPr>
      <w:rPr>
        <w:rFonts w:cs="Times New Roman"/>
      </w:rPr>
    </w:lvl>
    <w:lvl w:ilvl="4">
      <w:start w:val="1"/>
      <w:numFmt w:val="decimal"/>
      <w:pStyle w:val="Heading5"/>
      <w:lvlText w:val="%1.%2.%3.%4.%5."/>
      <w:legacy w:legacy="1" w:legacySpace="0" w:legacyIndent="708"/>
      <w:lvlJc w:val="left"/>
      <w:pPr>
        <w:ind w:left="3540" w:hanging="708"/>
      </w:pPr>
      <w:rPr>
        <w:rFonts w:cs="Times New Roman"/>
      </w:rPr>
    </w:lvl>
    <w:lvl w:ilvl="5">
      <w:start w:val="1"/>
      <w:numFmt w:val="decimal"/>
      <w:pStyle w:val="Heading6"/>
      <w:lvlText w:val="%1.%2.%3.%4.%5.%6."/>
      <w:legacy w:legacy="1" w:legacySpace="0" w:legacyIndent="708"/>
      <w:lvlJc w:val="left"/>
      <w:pPr>
        <w:ind w:left="4248" w:hanging="708"/>
      </w:pPr>
      <w:rPr>
        <w:rFonts w:cs="Times New Roman"/>
      </w:rPr>
    </w:lvl>
    <w:lvl w:ilvl="6">
      <w:start w:val="1"/>
      <w:numFmt w:val="decimal"/>
      <w:pStyle w:val="Heading7"/>
      <w:lvlText w:val="%1.%2.%3.%4.%5.%6.%7."/>
      <w:legacy w:legacy="1" w:legacySpace="0" w:legacyIndent="708"/>
      <w:lvlJc w:val="left"/>
      <w:pPr>
        <w:ind w:left="4956" w:hanging="708"/>
      </w:pPr>
      <w:rPr>
        <w:rFonts w:cs="Times New Roman"/>
      </w:rPr>
    </w:lvl>
    <w:lvl w:ilvl="7">
      <w:start w:val="1"/>
      <w:numFmt w:val="decimal"/>
      <w:pStyle w:val="Heading8"/>
      <w:lvlText w:val="%1.%2.%3.%4.%5.%6.%7.%8."/>
      <w:legacy w:legacy="1" w:legacySpace="0" w:legacyIndent="708"/>
      <w:lvlJc w:val="left"/>
      <w:pPr>
        <w:ind w:left="5664" w:hanging="708"/>
      </w:pPr>
      <w:rPr>
        <w:rFonts w:cs="Times New Roman"/>
      </w:rPr>
    </w:lvl>
    <w:lvl w:ilvl="8">
      <w:start w:val="1"/>
      <w:numFmt w:val="decimal"/>
      <w:pStyle w:val="Heading9"/>
      <w:lvlText w:val="%1.%2.%3.%4.%5.%6.%7.%8.%9."/>
      <w:legacy w:legacy="1" w:legacySpace="0" w:legacyIndent="708"/>
      <w:lvlJc w:val="left"/>
      <w:pPr>
        <w:ind w:left="6372" w:hanging="708"/>
      </w:pPr>
      <w:rPr>
        <w:rFonts w:cs="Times New Roman"/>
      </w:rPr>
    </w:lvl>
  </w:abstractNum>
  <w:abstractNum w:abstractNumId="1">
    <w:nsid w:val="1AE156EC"/>
    <w:multiLevelType w:val="hybridMultilevel"/>
    <w:tmpl w:val="8912226E"/>
    <w:lvl w:ilvl="0" w:tplc="3006E408">
      <w:start w:val="1"/>
      <w:numFmt w:val="decimal"/>
      <w:lvlText w:val="%1-"/>
      <w:lvlJc w:val="left"/>
      <w:pPr>
        <w:ind w:left="720" w:hanging="360"/>
      </w:pPr>
      <w:rPr>
        <w:rFonts w:cs="Times New Roman"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6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6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18652FF"/>
    <w:multiLevelType w:val="hybridMultilevel"/>
    <w:tmpl w:val="6D0852FE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66765F6"/>
    <w:multiLevelType w:val="hybridMultilevel"/>
    <w:tmpl w:val="E1866444"/>
    <w:lvl w:ilvl="0" w:tplc="0CD0CEE6">
      <w:start w:val="1"/>
      <w:numFmt w:val="decimal"/>
      <w:lvlText w:val="%1."/>
      <w:lvlJc w:val="left"/>
      <w:pPr>
        <w:ind w:left="900" w:hanging="540"/>
      </w:pPr>
      <w:rPr>
        <w:rFonts w:cs="Times New Roman" w:hint="default"/>
        <w:color w:val="auto"/>
        <w:sz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278A0A34"/>
    <w:multiLevelType w:val="multilevel"/>
    <w:tmpl w:val="172A16EC"/>
    <w:lvl w:ilvl="0">
      <w:start w:val="2"/>
      <w:numFmt w:val="decimal"/>
      <w:lvlText w:val="%1"/>
      <w:lvlJc w:val="left"/>
      <w:pPr>
        <w:ind w:left="435" w:hanging="435"/>
      </w:pPr>
      <w:rPr>
        <w:rFonts w:cs="Times New Roman" w:hint="default"/>
      </w:rPr>
    </w:lvl>
    <w:lvl w:ilvl="1">
      <w:start w:val="4"/>
      <w:numFmt w:val="decimal"/>
      <w:lvlText w:val="%1.%2"/>
      <w:lvlJc w:val="left"/>
      <w:pPr>
        <w:ind w:left="790" w:hanging="435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ind w:left="1146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1785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2500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2855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3570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3925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4640" w:hanging="1800"/>
      </w:pPr>
      <w:rPr>
        <w:rFonts w:cs="Times New Roman" w:hint="default"/>
      </w:rPr>
    </w:lvl>
  </w:abstractNum>
  <w:abstractNum w:abstractNumId="5">
    <w:nsid w:val="309A5391"/>
    <w:multiLevelType w:val="hybridMultilevel"/>
    <w:tmpl w:val="7C42977C"/>
    <w:lvl w:ilvl="0" w:tplc="0416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6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6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322036CE"/>
    <w:multiLevelType w:val="hybridMultilevel"/>
    <w:tmpl w:val="BFBC12E4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322C1137"/>
    <w:multiLevelType w:val="multilevel"/>
    <w:tmpl w:val="593E37E8"/>
    <w:lvl w:ilvl="0">
      <w:start w:val="2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>
      <w:start w:val="4"/>
      <w:numFmt w:val="decimal"/>
      <w:lvlText w:val="%1.%2-"/>
      <w:lvlJc w:val="left"/>
      <w:pPr>
        <w:ind w:left="360" w:hanging="360"/>
      </w:pPr>
      <w:rPr>
        <w:rFonts w:cs="Times New Roman" w:hint="default"/>
      </w:rPr>
    </w:lvl>
    <w:lvl w:ilvl="2">
      <w:start w:val="1"/>
      <w:numFmt w:val="decimal"/>
      <w:lvlText w:val="%1.%2-%3.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lvlText w:val="%1.%2-%3.%4."/>
      <w:lvlJc w:val="left"/>
      <w:pPr>
        <w:ind w:left="720" w:hanging="720"/>
      </w:pPr>
      <w:rPr>
        <w:rFonts w:cs="Times New Roman" w:hint="default"/>
      </w:rPr>
    </w:lvl>
    <w:lvl w:ilvl="4">
      <w:start w:val="1"/>
      <w:numFmt w:val="decimal"/>
      <w:lvlText w:val="%1.%2-%3.%4.%5."/>
      <w:lvlJc w:val="left"/>
      <w:pPr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-%3.%4.%5.%6."/>
      <w:lvlJc w:val="left"/>
      <w:pPr>
        <w:ind w:left="1080" w:hanging="1080"/>
      </w:pPr>
      <w:rPr>
        <w:rFonts w:cs="Times New Roman" w:hint="default"/>
      </w:rPr>
    </w:lvl>
    <w:lvl w:ilvl="6">
      <w:start w:val="1"/>
      <w:numFmt w:val="decimal"/>
      <w:lvlText w:val="%1.%2-%3.%4.%5.%6.%7."/>
      <w:lvlJc w:val="left"/>
      <w:pPr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-%3.%4.%5.%6.%7.%8."/>
      <w:lvlJc w:val="left"/>
      <w:pPr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-%3.%4.%5.%6.%7.%8.%9."/>
      <w:lvlJc w:val="left"/>
      <w:pPr>
        <w:ind w:left="1800" w:hanging="1800"/>
      </w:pPr>
      <w:rPr>
        <w:rFonts w:cs="Times New Roman" w:hint="default"/>
      </w:rPr>
    </w:lvl>
  </w:abstractNum>
  <w:abstractNum w:abstractNumId="8">
    <w:nsid w:val="3C1648E1"/>
    <w:multiLevelType w:val="hybridMultilevel"/>
    <w:tmpl w:val="E90C239C"/>
    <w:lvl w:ilvl="0" w:tplc="04160019">
      <w:start w:val="1"/>
      <w:numFmt w:val="lowerLetter"/>
      <w:lvlText w:val="%1."/>
      <w:lvlJc w:val="left"/>
      <w:pPr>
        <w:ind w:left="720" w:hanging="360"/>
      </w:pPr>
      <w:rPr>
        <w:rFonts w:cs="Times New Roman"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6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6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51862CB"/>
    <w:multiLevelType w:val="hybridMultilevel"/>
    <w:tmpl w:val="C88AF65A"/>
    <w:lvl w:ilvl="0" w:tplc="D49CE9BE">
      <w:start w:val="1"/>
      <w:numFmt w:val="decimal"/>
      <w:lvlText w:val="%1-"/>
      <w:lvlJc w:val="left"/>
      <w:pPr>
        <w:ind w:left="720" w:hanging="360"/>
      </w:pPr>
      <w:rPr>
        <w:rFonts w:cs="Times New Roman"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6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6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51AA30E9"/>
    <w:multiLevelType w:val="hybridMultilevel"/>
    <w:tmpl w:val="63C01A46"/>
    <w:lvl w:ilvl="0" w:tplc="DF96FE0A">
      <w:start w:val="1"/>
      <w:numFmt w:val="decimal"/>
      <w:lvlText w:val="%1-"/>
      <w:lvlJc w:val="left"/>
      <w:pPr>
        <w:ind w:left="720" w:hanging="360"/>
      </w:pPr>
      <w:rPr>
        <w:rFonts w:cs="Times New Roman"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6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6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59C64A4E"/>
    <w:multiLevelType w:val="hybridMultilevel"/>
    <w:tmpl w:val="EAB6F170"/>
    <w:lvl w:ilvl="0" w:tplc="C5469D3E">
      <w:start w:val="1"/>
      <w:numFmt w:val="decimal"/>
      <w:lvlText w:val="%1-"/>
      <w:lvlJc w:val="left"/>
      <w:pPr>
        <w:ind w:left="720" w:hanging="360"/>
      </w:pPr>
      <w:rPr>
        <w:rFonts w:cs="Times New Roman"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6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6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>
    <w:nsid w:val="607001AD"/>
    <w:multiLevelType w:val="hybridMultilevel"/>
    <w:tmpl w:val="C6E48D50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98B0D86"/>
    <w:multiLevelType w:val="hybridMultilevel"/>
    <w:tmpl w:val="63C01A46"/>
    <w:lvl w:ilvl="0" w:tplc="DF96FE0A">
      <w:start w:val="1"/>
      <w:numFmt w:val="decimal"/>
      <w:lvlText w:val="%1-"/>
      <w:lvlJc w:val="left"/>
      <w:pPr>
        <w:ind w:left="720" w:hanging="360"/>
      </w:pPr>
      <w:rPr>
        <w:rFonts w:cs="Times New Roman"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6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6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>
    <w:nsid w:val="7F2F0963"/>
    <w:multiLevelType w:val="hybridMultilevel"/>
    <w:tmpl w:val="A18CF5AE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9"/>
  </w:num>
  <w:num w:numId="2">
    <w:abstractNumId w:val="0"/>
  </w:num>
  <w:num w:numId="3">
    <w:abstractNumId w:val="0"/>
  </w:num>
  <w:num w:numId="4">
    <w:abstractNumId w:val="0"/>
  </w:num>
  <w:num w:numId="5">
    <w:abstractNumId w:val="0"/>
  </w:num>
  <w:num w:numId="6">
    <w:abstractNumId w:val="0"/>
  </w:num>
  <w:num w:numId="7">
    <w:abstractNumId w:val="0"/>
  </w:num>
  <w:num w:numId="8">
    <w:abstractNumId w:val="0"/>
  </w:num>
  <w:num w:numId="9">
    <w:abstractNumId w:val="0"/>
  </w:num>
  <w:num w:numId="10">
    <w:abstractNumId w:val="0"/>
  </w:num>
  <w:num w:numId="1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6"/>
  </w:num>
  <w:num w:numId="15">
    <w:abstractNumId w:val="12"/>
  </w:num>
  <w:num w:numId="16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4"/>
  </w:num>
  <w:num w:numId="18">
    <w:abstractNumId w:val="11"/>
  </w:num>
  <w:num w:numId="19">
    <w:abstractNumId w:val="7"/>
  </w:num>
  <w:num w:numId="20">
    <w:abstractNumId w:val="4"/>
  </w:num>
  <w:num w:numId="21">
    <w:abstractNumId w:val="10"/>
  </w:num>
  <w:num w:numId="22">
    <w:abstractNumId w:val="13"/>
  </w:num>
  <w:num w:numId="23">
    <w:abstractNumId w:val="1"/>
  </w:num>
  <w:num w:numId="24">
    <w:abstractNumId w:val="0"/>
    <w:lvlOverride w:ilvl="0">
      <w:startOverride w:val="4"/>
    </w:lvlOverride>
  </w:num>
  <w:num w:numId="25">
    <w:abstractNumId w:val="8"/>
  </w:num>
  <w:num w:numId="26">
    <w:abstractNumId w:val="5"/>
  </w:num>
  <w:num w:numId="27">
    <w:abstractNumId w:val="2"/>
  </w:num>
  <w:num w:numId="28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drawingGridHorizontalSpacing w:val="120"/>
  <w:displayHorizontalDrawingGridEvery w:val="2"/>
  <w:characterSpacingControl w:val="doNotCompress"/>
  <w:hdrShapeDefaults>
    <o:shapedefaults v:ext="edit" spidmax="2050"/>
    <o:shapelayout v:ext="edit">
      <o:idmap v:ext="edit" data="2"/>
    </o:shapelayout>
  </w:hdrShapeDefaults>
  <w:footnotePr>
    <w:numFmt w:val="lowerLetter"/>
    <w:footnote w:id="0"/>
    <w:footnote w:id="1"/>
  </w:footnotePr>
  <w:endnotePr>
    <w:endnote w:id="0"/>
    <w:endnote w:id="1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E61643"/>
    <w:rsid w:val="00000890"/>
    <w:rsid w:val="000231BD"/>
    <w:rsid w:val="00031EC9"/>
    <w:rsid w:val="00036BE8"/>
    <w:rsid w:val="00041425"/>
    <w:rsid w:val="0004386B"/>
    <w:rsid w:val="00044751"/>
    <w:rsid w:val="00052961"/>
    <w:rsid w:val="0005304D"/>
    <w:rsid w:val="00055278"/>
    <w:rsid w:val="00070A9B"/>
    <w:rsid w:val="0007104F"/>
    <w:rsid w:val="000716EF"/>
    <w:rsid w:val="00077740"/>
    <w:rsid w:val="000853A5"/>
    <w:rsid w:val="00086783"/>
    <w:rsid w:val="00090DE9"/>
    <w:rsid w:val="000A1330"/>
    <w:rsid w:val="000A5708"/>
    <w:rsid w:val="000B348E"/>
    <w:rsid w:val="000B39CF"/>
    <w:rsid w:val="000D0F23"/>
    <w:rsid w:val="000D4084"/>
    <w:rsid w:val="000E31AD"/>
    <w:rsid w:val="000E73AB"/>
    <w:rsid w:val="000F2AEB"/>
    <w:rsid w:val="000F3502"/>
    <w:rsid w:val="001019F7"/>
    <w:rsid w:val="00114854"/>
    <w:rsid w:val="00115EBE"/>
    <w:rsid w:val="00130B49"/>
    <w:rsid w:val="0013130C"/>
    <w:rsid w:val="00131F12"/>
    <w:rsid w:val="0013444C"/>
    <w:rsid w:val="00135D42"/>
    <w:rsid w:val="001407C6"/>
    <w:rsid w:val="001424DF"/>
    <w:rsid w:val="00143E8C"/>
    <w:rsid w:val="00153189"/>
    <w:rsid w:val="00156263"/>
    <w:rsid w:val="00160337"/>
    <w:rsid w:val="00162AB7"/>
    <w:rsid w:val="00164511"/>
    <w:rsid w:val="00165666"/>
    <w:rsid w:val="00165F60"/>
    <w:rsid w:val="001677E4"/>
    <w:rsid w:val="00177FEF"/>
    <w:rsid w:val="001842FC"/>
    <w:rsid w:val="00186069"/>
    <w:rsid w:val="00193601"/>
    <w:rsid w:val="001938D1"/>
    <w:rsid w:val="00193A73"/>
    <w:rsid w:val="00197127"/>
    <w:rsid w:val="001B3079"/>
    <w:rsid w:val="001D0901"/>
    <w:rsid w:val="001D1362"/>
    <w:rsid w:val="001D2D41"/>
    <w:rsid w:val="001D4CF5"/>
    <w:rsid w:val="001D5391"/>
    <w:rsid w:val="002050BE"/>
    <w:rsid w:val="0021344A"/>
    <w:rsid w:val="00216F71"/>
    <w:rsid w:val="00220196"/>
    <w:rsid w:val="002240B6"/>
    <w:rsid w:val="002260DF"/>
    <w:rsid w:val="002312F2"/>
    <w:rsid w:val="00235AC8"/>
    <w:rsid w:val="00242AB0"/>
    <w:rsid w:val="00253102"/>
    <w:rsid w:val="00257DC7"/>
    <w:rsid w:val="00274E74"/>
    <w:rsid w:val="00277DA6"/>
    <w:rsid w:val="0028253A"/>
    <w:rsid w:val="00292170"/>
    <w:rsid w:val="00293F98"/>
    <w:rsid w:val="002A0119"/>
    <w:rsid w:val="002B3D52"/>
    <w:rsid w:val="002D0720"/>
    <w:rsid w:val="002E3421"/>
    <w:rsid w:val="002E7E0B"/>
    <w:rsid w:val="002F64AF"/>
    <w:rsid w:val="002F6FC7"/>
    <w:rsid w:val="003003B4"/>
    <w:rsid w:val="00303F53"/>
    <w:rsid w:val="00305579"/>
    <w:rsid w:val="00306A58"/>
    <w:rsid w:val="0030701E"/>
    <w:rsid w:val="00320531"/>
    <w:rsid w:val="0032173C"/>
    <w:rsid w:val="00322E9F"/>
    <w:rsid w:val="00335410"/>
    <w:rsid w:val="00352BB6"/>
    <w:rsid w:val="0036383B"/>
    <w:rsid w:val="00372258"/>
    <w:rsid w:val="00374E36"/>
    <w:rsid w:val="00376634"/>
    <w:rsid w:val="00380CB7"/>
    <w:rsid w:val="003A3761"/>
    <w:rsid w:val="003A409D"/>
    <w:rsid w:val="003B2055"/>
    <w:rsid w:val="003B3A33"/>
    <w:rsid w:val="003B7D19"/>
    <w:rsid w:val="003B7E34"/>
    <w:rsid w:val="003D33B1"/>
    <w:rsid w:val="003D5416"/>
    <w:rsid w:val="003D7302"/>
    <w:rsid w:val="003D73FB"/>
    <w:rsid w:val="003E0E28"/>
    <w:rsid w:val="003E50C2"/>
    <w:rsid w:val="003F246D"/>
    <w:rsid w:val="003F6CB2"/>
    <w:rsid w:val="003F72C7"/>
    <w:rsid w:val="003F7A54"/>
    <w:rsid w:val="0040021D"/>
    <w:rsid w:val="00411401"/>
    <w:rsid w:val="004157DA"/>
    <w:rsid w:val="00421DF5"/>
    <w:rsid w:val="00421E50"/>
    <w:rsid w:val="00423B67"/>
    <w:rsid w:val="00426EE5"/>
    <w:rsid w:val="00435E23"/>
    <w:rsid w:val="00454CF7"/>
    <w:rsid w:val="00456DB6"/>
    <w:rsid w:val="00462968"/>
    <w:rsid w:val="0047739D"/>
    <w:rsid w:val="00481E66"/>
    <w:rsid w:val="004923D2"/>
    <w:rsid w:val="00492628"/>
    <w:rsid w:val="00493FD4"/>
    <w:rsid w:val="004951DE"/>
    <w:rsid w:val="004A2AE5"/>
    <w:rsid w:val="004B0AA9"/>
    <w:rsid w:val="004C5002"/>
    <w:rsid w:val="004D014B"/>
    <w:rsid w:val="004D7E19"/>
    <w:rsid w:val="004E00DC"/>
    <w:rsid w:val="004F3DA3"/>
    <w:rsid w:val="004F6304"/>
    <w:rsid w:val="00500FB1"/>
    <w:rsid w:val="0050472D"/>
    <w:rsid w:val="0050618F"/>
    <w:rsid w:val="00514316"/>
    <w:rsid w:val="005277BC"/>
    <w:rsid w:val="00527F86"/>
    <w:rsid w:val="00530FE5"/>
    <w:rsid w:val="0053161A"/>
    <w:rsid w:val="00544EE0"/>
    <w:rsid w:val="0054615C"/>
    <w:rsid w:val="005650F9"/>
    <w:rsid w:val="00571543"/>
    <w:rsid w:val="0058238E"/>
    <w:rsid w:val="005839C0"/>
    <w:rsid w:val="005A52E5"/>
    <w:rsid w:val="005A5914"/>
    <w:rsid w:val="005B56D0"/>
    <w:rsid w:val="005B7EDB"/>
    <w:rsid w:val="005C2B34"/>
    <w:rsid w:val="005D02C9"/>
    <w:rsid w:val="005D1B80"/>
    <w:rsid w:val="005D37F4"/>
    <w:rsid w:val="005D510D"/>
    <w:rsid w:val="005D5A68"/>
    <w:rsid w:val="005D6D06"/>
    <w:rsid w:val="005D6E37"/>
    <w:rsid w:val="005F0DFF"/>
    <w:rsid w:val="00613B7A"/>
    <w:rsid w:val="0061746A"/>
    <w:rsid w:val="00627DDB"/>
    <w:rsid w:val="00637491"/>
    <w:rsid w:val="00653E29"/>
    <w:rsid w:val="00653E7D"/>
    <w:rsid w:val="00654461"/>
    <w:rsid w:val="006628EC"/>
    <w:rsid w:val="006635CD"/>
    <w:rsid w:val="00670BBB"/>
    <w:rsid w:val="00675402"/>
    <w:rsid w:val="0067597F"/>
    <w:rsid w:val="00691BB3"/>
    <w:rsid w:val="006927FE"/>
    <w:rsid w:val="00694497"/>
    <w:rsid w:val="006A665E"/>
    <w:rsid w:val="006B503F"/>
    <w:rsid w:val="006B6E04"/>
    <w:rsid w:val="006C0597"/>
    <w:rsid w:val="006C43CC"/>
    <w:rsid w:val="006C6309"/>
    <w:rsid w:val="006D4971"/>
    <w:rsid w:val="006D713E"/>
    <w:rsid w:val="006E09AC"/>
    <w:rsid w:val="006E281E"/>
    <w:rsid w:val="006F5EE4"/>
    <w:rsid w:val="00707C34"/>
    <w:rsid w:val="007228AB"/>
    <w:rsid w:val="00725320"/>
    <w:rsid w:val="00731BE5"/>
    <w:rsid w:val="007333D5"/>
    <w:rsid w:val="0073445C"/>
    <w:rsid w:val="00735A5F"/>
    <w:rsid w:val="00740BDC"/>
    <w:rsid w:val="00744CC2"/>
    <w:rsid w:val="00745C4B"/>
    <w:rsid w:val="0075054E"/>
    <w:rsid w:val="00751B1A"/>
    <w:rsid w:val="00761B59"/>
    <w:rsid w:val="0076785B"/>
    <w:rsid w:val="00770F75"/>
    <w:rsid w:val="0078197A"/>
    <w:rsid w:val="00795100"/>
    <w:rsid w:val="007A460D"/>
    <w:rsid w:val="007B5497"/>
    <w:rsid w:val="007C20CC"/>
    <w:rsid w:val="007C26BA"/>
    <w:rsid w:val="007C29B9"/>
    <w:rsid w:val="007C647A"/>
    <w:rsid w:val="007C6723"/>
    <w:rsid w:val="007E5AA9"/>
    <w:rsid w:val="007F00E3"/>
    <w:rsid w:val="007F1B66"/>
    <w:rsid w:val="008045A2"/>
    <w:rsid w:val="00806149"/>
    <w:rsid w:val="0081136E"/>
    <w:rsid w:val="00820FCC"/>
    <w:rsid w:val="00821D12"/>
    <w:rsid w:val="00821E8D"/>
    <w:rsid w:val="00823A5F"/>
    <w:rsid w:val="00853930"/>
    <w:rsid w:val="00856278"/>
    <w:rsid w:val="008604E9"/>
    <w:rsid w:val="008633F1"/>
    <w:rsid w:val="00863708"/>
    <w:rsid w:val="00866F51"/>
    <w:rsid w:val="00873BEB"/>
    <w:rsid w:val="008779C8"/>
    <w:rsid w:val="00877BFE"/>
    <w:rsid w:val="008849A6"/>
    <w:rsid w:val="0089263E"/>
    <w:rsid w:val="008A0116"/>
    <w:rsid w:val="008A29F4"/>
    <w:rsid w:val="008A38A7"/>
    <w:rsid w:val="008B69FD"/>
    <w:rsid w:val="008D1F56"/>
    <w:rsid w:val="008D23A3"/>
    <w:rsid w:val="008E5881"/>
    <w:rsid w:val="008E5C07"/>
    <w:rsid w:val="008F2990"/>
    <w:rsid w:val="00911971"/>
    <w:rsid w:val="00917188"/>
    <w:rsid w:val="00927398"/>
    <w:rsid w:val="00956F02"/>
    <w:rsid w:val="00963322"/>
    <w:rsid w:val="009734F9"/>
    <w:rsid w:val="00984690"/>
    <w:rsid w:val="00993AF9"/>
    <w:rsid w:val="0099718A"/>
    <w:rsid w:val="009B6F70"/>
    <w:rsid w:val="009C7FAA"/>
    <w:rsid w:val="009E083E"/>
    <w:rsid w:val="009F32DB"/>
    <w:rsid w:val="009F7D49"/>
    <w:rsid w:val="00A328A4"/>
    <w:rsid w:val="00A3435F"/>
    <w:rsid w:val="00A34FF5"/>
    <w:rsid w:val="00A47B41"/>
    <w:rsid w:val="00A51A90"/>
    <w:rsid w:val="00A52F9A"/>
    <w:rsid w:val="00A5609F"/>
    <w:rsid w:val="00A57CAB"/>
    <w:rsid w:val="00A60F3B"/>
    <w:rsid w:val="00A652BE"/>
    <w:rsid w:val="00A730B3"/>
    <w:rsid w:val="00A7310A"/>
    <w:rsid w:val="00A77CDE"/>
    <w:rsid w:val="00A8748B"/>
    <w:rsid w:val="00A94AD6"/>
    <w:rsid w:val="00A97AB3"/>
    <w:rsid w:val="00AA355C"/>
    <w:rsid w:val="00AB4C51"/>
    <w:rsid w:val="00AC0FE0"/>
    <w:rsid w:val="00AC7271"/>
    <w:rsid w:val="00AD1F2D"/>
    <w:rsid w:val="00AE4ECF"/>
    <w:rsid w:val="00AE5AAA"/>
    <w:rsid w:val="00AF1E9A"/>
    <w:rsid w:val="00AF20EB"/>
    <w:rsid w:val="00AF7867"/>
    <w:rsid w:val="00B05C3B"/>
    <w:rsid w:val="00B257E2"/>
    <w:rsid w:val="00B25F70"/>
    <w:rsid w:val="00B454C0"/>
    <w:rsid w:val="00B47113"/>
    <w:rsid w:val="00B52B8B"/>
    <w:rsid w:val="00B56C40"/>
    <w:rsid w:val="00B62024"/>
    <w:rsid w:val="00B63BD3"/>
    <w:rsid w:val="00B65970"/>
    <w:rsid w:val="00B673FF"/>
    <w:rsid w:val="00B733DF"/>
    <w:rsid w:val="00B76133"/>
    <w:rsid w:val="00B76DF8"/>
    <w:rsid w:val="00B8294F"/>
    <w:rsid w:val="00B93D4D"/>
    <w:rsid w:val="00BA4A8E"/>
    <w:rsid w:val="00BA792C"/>
    <w:rsid w:val="00BB5F21"/>
    <w:rsid w:val="00BB772B"/>
    <w:rsid w:val="00BC45B3"/>
    <w:rsid w:val="00BC4A21"/>
    <w:rsid w:val="00BD1635"/>
    <w:rsid w:val="00BD49B0"/>
    <w:rsid w:val="00BD586C"/>
    <w:rsid w:val="00BD5A1E"/>
    <w:rsid w:val="00BE2353"/>
    <w:rsid w:val="00BE6128"/>
    <w:rsid w:val="00BF160B"/>
    <w:rsid w:val="00C02D43"/>
    <w:rsid w:val="00C1281D"/>
    <w:rsid w:val="00C24804"/>
    <w:rsid w:val="00C27278"/>
    <w:rsid w:val="00C27C53"/>
    <w:rsid w:val="00C33EA6"/>
    <w:rsid w:val="00C34819"/>
    <w:rsid w:val="00C35ECD"/>
    <w:rsid w:val="00C556BF"/>
    <w:rsid w:val="00C57C7F"/>
    <w:rsid w:val="00C61908"/>
    <w:rsid w:val="00C61CB1"/>
    <w:rsid w:val="00C834A5"/>
    <w:rsid w:val="00C90E79"/>
    <w:rsid w:val="00C928CC"/>
    <w:rsid w:val="00C9377A"/>
    <w:rsid w:val="00CA0643"/>
    <w:rsid w:val="00CB77A5"/>
    <w:rsid w:val="00CC35A1"/>
    <w:rsid w:val="00CC4F7B"/>
    <w:rsid w:val="00CD1DD2"/>
    <w:rsid w:val="00CE3795"/>
    <w:rsid w:val="00CE651A"/>
    <w:rsid w:val="00CF5BDA"/>
    <w:rsid w:val="00D0723D"/>
    <w:rsid w:val="00D2416B"/>
    <w:rsid w:val="00D32F4E"/>
    <w:rsid w:val="00D36471"/>
    <w:rsid w:val="00D40520"/>
    <w:rsid w:val="00D534D9"/>
    <w:rsid w:val="00D538FB"/>
    <w:rsid w:val="00D61B0F"/>
    <w:rsid w:val="00D72923"/>
    <w:rsid w:val="00D74BFF"/>
    <w:rsid w:val="00D80A8F"/>
    <w:rsid w:val="00D821E6"/>
    <w:rsid w:val="00D82D08"/>
    <w:rsid w:val="00D857D0"/>
    <w:rsid w:val="00DB4368"/>
    <w:rsid w:val="00DC0133"/>
    <w:rsid w:val="00DC0561"/>
    <w:rsid w:val="00DD07A9"/>
    <w:rsid w:val="00DD238D"/>
    <w:rsid w:val="00DD31D8"/>
    <w:rsid w:val="00DE5061"/>
    <w:rsid w:val="00DF24A8"/>
    <w:rsid w:val="00DF4ED7"/>
    <w:rsid w:val="00E13E14"/>
    <w:rsid w:val="00E142E7"/>
    <w:rsid w:val="00E27F48"/>
    <w:rsid w:val="00E40837"/>
    <w:rsid w:val="00E40985"/>
    <w:rsid w:val="00E42F5A"/>
    <w:rsid w:val="00E570FE"/>
    <w:rsid w:val="00E61643"/>
    <w:rsid w:val="00E6499E"/>
    <w:rsid w:val="00E8574B"/>
    <w:rsid w:val="00E91944"/>
    <w:rsid w:val="00E939A4"/>
    <w:rsid w:val="00EA4DFC"/>
    <w:rsid w:val="00EB36AD"/>
    <w:rsid w:val="00EB586D"/>
    <w:rsid w:val="00EB59C0"/>
    <w:rsid w:val="00EB626F"/>
    <w:rsid w:val="00EB7A63"/>
    <w:rsid w:val="00EC0064"/>
    <w:rsid w:val="00EC10C6"/>
    <w:rsid w:val="00EC5567"/>
    <w:rsid w:val="00EC6592"/>
    <w:rsid w:val="00EF2A19"/>
    <w:rsid w:val="00EF3434"/>
    <w:rsid w:val="00EF7B79"/>
    <w:rsid w:val="00F0270D"/>
    <w:rsid w:val="00F031A7"/>
    <w:rsid w:val="00F06DBE"/>
    <w:rsid w:val="00F07A53"/>
    <w:rsid w:val="00F13258"/>
    <w:rsid w:val="00F15F33"/>
    <w:rsid w:val="00F20BDB"/>
    <w:rsid w:val="00F23842"/>
    <w:rsid w:val="00F25569"/>
    <w:rsid w:val="00F340D6"/>
    <w:rsid w:val="00F35C78"/>
    <w:rsid w:val="00F35D97"/>
    <w:rsid w:val="00F45213"/>
    <w:rsid w:val="00F5719D"/>
    <w:rsid w:val="00F601AD"/>
    <w:rsid w:val="00F71BF1"/>
    <w:rsid w:val="00F851EE"/>
    <w:rsid w:val="00F86353"/>
    <w:rsid w:val="00F86C24"/>
    <w:rsid w:val="00F9134F"/>
    <w:rsid w:val="00F917F8"/>
    <w:rsid w:val="00F94F53"/>
    <w:rsid w:val="00FA145B"/>
    <w:rsid w:val="00FA644F"/>
    <w:rsid w:val="00FC1137"/>
    <w:rsid w:val="00FC17AA"/>
    <w:rsid w:val="00FD4B3A"/>
    <w:rsid w:val="00FD5928"/>
    <w:rsid w:val="00FE5892"/>
    <w:rsid w:val="00FE6A5A"/>
    <w:rsid w:val="00FE6E2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ms Rmn" w:eastAsia="Times New Roman" w:hAnsi="Tms Rmn" w:cs="Times New Roman"/>
        <w:sz w:val="22"/>
        <w:szCs w:val="22"/>
        <w:lang w:val="pt-BR" w:eastAsia="pt-BR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iPriority="34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semiHidden="0" w:uiPriority="39" w:unhideWhenUsed="0" w:qFormat="1"/>
  </w:latentStyles>
  <w:style w:type="paragraph" w:default="1" w:styleId="Normal">
    <w:name w:val="Normal"/>
    <w:qFormat/>
    <w:rsid w:val="008779C8"/>
    <w:pPr>
      <w:overflowPunct w:val="0"/>
      <w:autoSpaceDE w:val="0"/>
      <w:autoSpaceDN w:val="0"/>
      <w:adjustRightInd w:val="0"/>
      <w:textAlignment w:val="baseline"/>
    </w:pPr>
    <w:rPr>
      <w:rFonts w:ascii="Arial" w:hAnsi="Arial"/>
      <w:sz w:val="24"/>
      <w:szCs w:val="20"/>
    </w:rPr>
  </w:style>
  <w:style w:type="paragraph" w:styleId="Heading1">
    <w:name w:val="heading 1"/>
    <w:basedOn w:val="Normal"/>
    <w:next w:val="Normal"/>
    <w:link w:val="Heading1Char"/>
    <w:uiPriority w:val="99"/>
    <w:qFormat/>
    <w:rsid w:val="008779C8"/>
    <w:pPr>
      <w:keepNext/>
      <w:numPr>
        <w:numId w:val="10"/>
      </w:numPr>
      <w:spacing w:before="480" w:after="200"/>
      <w:outlineLvl w:val="0"/>
    </w:pPr>
    <w:rPr>
      <w:b/>
      <w:smallCaps/>
      <w:kern w:val="28"/>
      <w:sz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8779C8"/>
    <w:pPr>
      <w:keepNext/>
      <w:numPr>
        <w:ilvl w:val="1"/>
        <w:numId w:val="10"/>
      </w:numPr>
      <w:spacing w:before="360" w:after="120"/>
      <w:outlineLvl w:val="1"/>
    </w:pPr>
    <w:rPr>
      <w:b/>
      <w:smallCaps/>
      <w:sz w:val="28"/>
    </w:rPr>
  </w:style>
  <w:style w:type="paragraph" w:styleId="Heading3">
    <w:name w:val="heading 3"/>
    <w:basedOn w:val="Normal"/>
    <w:next w:val="Normal"/>
    <w:link w:val="Heading3Char"/>
    <w:uiPriority w:val="99"/>
    <w:qFormat/>
    <w:rsid w:val="008779C8"/>
    <w:pPr>
      <w:keepNext/>
      <w:numPr>
        <w:ilvl w:val="2"/>
        <w:numId w:val="10"/>
      </w:numPr>
      <w:spacing w:before="240" w:after="60"/>
      <w:outlineLvl w:val="2"/>
    </w:pPr>
    <w:rPr>
      <w:rFonts w:cs="Arial"/>
      <w:b/>
      <w:smallCaps/>
      <w:sz w:val="28"/>
    </w:rPr>
  </w:style>
  <w:style w:type="paragraph" w:styleId="Heading4">
    <w:name w:val="heading 4"/>
    <w:basedOn w:val="Normal"/>
    <w:next w:val="Normal"/>
    <w:link w:val="Heading4Char"/>
    <w:uiPriority w:val="99"/>
    <w:qFormat/>
    <w:rsid w:val="008779C8"/>
    <w:pPr>
      <w:keepNext/>
      <w:numPr>
        <w:ilvl w:val="3"/>
        <w:numId w:val="10"/>
      </w:numPr>
      <w:spacing w:before="240" w:after="60"/>
      <w:outlineLvl w:val="3"/>
    </w:pPr>
    <w:rPr>
      <w:rFonts w:ascii="Times New Roman" w:hAnsi="Times New Roman"/>
      <w:b/>
      <w:i/>
    </w:rPr>
  </w:style>
  <w:style w:type="paragraph" w:styleId="Heading5">
    <w:name w:val="heading 5"/>
    <w:basedOn w:val="Normal"/>
    <w:next w:val="Normal"/>
    <w:link w:val="Heading5Char"/>
    <w:uiPriority w:val="99"/>
    <w:qFormat/>
    <w:rsid w:val="008779C8"/>
    <w:pPr>
      <w:numPr>
        <w:ilvl w:val="4"/>
        <w:numId w:val="10"/>
      </w:numPr>
      <w:spacing w:before="240" w:after="60"/>
      <w:outlineLvl w:val="4"/>
    </w:pPr>
    <w:rPr>
      <w:sz w:val="22"/>
    </w:rPr>
  </w:style>
  <w:style w:type="paragraph" w:styleId="Heading6">
    <w:name w:val="heading 6"/>
    <w:basedOn w:val="Normal"/>
    <w:next w:val="Normal"/>
    <w:link w:val="Heading6Char"/>
    <w:uiPriority w:val="99"/>
    <w:qFormat/>
    <w:rsid w:val="008779C8"/>
    <w:pPr>
      <w:numPr>
        <w:ilvl w:val="5"/>
        <w:numId w:val="10"/>
      </w:numPr>
      <w:spacing w:before="240" w:after="60"/>
      <w:outlineLvl w:val="5"/>
    </w:pPr>
    <w:rPr>
      <w:i/>
      <w:sz w:val="22"/>
    </w:rPr>
  </w:style>
  <w:style w:type="paragraph" w:styleId="Heading7">
    <w:name w:val="heading 7"/>
    <w:basedOn w:val="Normal"/>
    <w:next w:val="Normal"/>
    <w:link w:val="Heading7Char"/>
    <w:uiPriority w:val="99"/>
    <w:qFormat/>
    <w:rsid w:val="008779C8"/>
    <w:pPr>
      <w:numPr>
        <w:ilvl w:val="6"/>
        <w:numId w:val="10"/>
      </w:numPr>
      <w:spacing w:before="240" w:after="60"/>
      <w:outlineLvl w:val="6"/>
    </w:pPr>
  </w:style>
  <w:style w:type="paragraph" w:styleId="Heading8">
    <w:name w:val="heading 8"/>
    <w:basedOn w:val="Normal"/>
    <w:next w:val="Normal"/>
    <w:link w:val="Heading8Char"/>
    <w:uiPriority w:val="99"/>
    <w:qFormat/>
    <w:rsid w:val="008779C8"/>
    <w:pPr>
      <w:numPr>
        <w:ilvl w:val="7"/>
        <w:numId w:val="10"/>
      </w:numPr>
      <w:spacing w:before="240" w:after="60"/>
      <w:outlineLvl w:val="7"/>
    </w:pPr>
    <w:rPr>
      <w:i/>
    </w:rPr>
  </w:style>
  <w:style w:type="paragraph" w:styleId="Heading9">
    <w:name w:val="heading 9"/>
    <w:basedOn w:val="Normal"/>
    <w:next w:val="Normal"/>
    <w:link w:val="Heading9Char"/>
    <w:uiPriority w:val="99"/>
    <w:qFormat/>
    <w:rsid w:val="008779C8"/>
    <w:pPr>
      <w:numPr>
        <w:ilvl w:val="8"/>
        <w:numId w:val="10"/>
      </w:numPr>
      <w:spacing w:before="240" w:after="60"/>
      <w:outlineLvl w:val="8"/>
    </w:pPr>
    <w:rPr>
      <w:i/>
      <w:sz w:val="18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8779C8"/>
    <w:rPr>
      <w:rFonts w:ascii="Arial" w:hAnsi="Arial" w:cs="Times New Roman"/>
      <w:b/>
      <w:smallCaps/>
      <w:kern w:val="28"/>
      <w:sz w:val="32"/>
    </w:rPr>
  </w:style>
  <w:style w:type="character" w:customStyle="1" w:styleId="Heading2Char">
    <w:name w:val="Heading 2 Char"/>
    <w:basedOn w:val="DefaultParagraphFont"/>
    <w:link w:val="Heading2"/>
    <w:uiPriority w:val="99"/>
    <w:locked/>
    <w:rsid w:val="008779C8"/>
    <w:rPr>
      <w:rFonts w:ascii="Arial" w:hAnsi="Arial" w:cs="Times New Roman"/>
      <w:b/>
      <w:smallCaps/>
      <w:sz w:val="28"/>
    </w:rPr>
  </w:style>
  <w:style w:type="character" w:customStyle="1" w:styleId="Heading3Char">
    <w:name w:val="Heading 3 Char"/>
    <w:basedOn w:val="DefaultParagraphFont"/>
    <w:link w:val="Heading3"/>
    <w:uiPriority w:val="99"/>
    <w:locked/>
    <w:rsid w:val="008779C8"/>
    <w:rPr>
      <w:rFonts w:ascii="Arial" w:hAnsi="Arial" w:cs="Arial"/>
      <w:b/>
      <w:smallCaps/>
      <w:sz w:val="28"/>
    </w:rPr>
  </w:style>
  <w:style w:type="character" w:customStyle="1" w:styleId="Heading4Char">
    <w:name w:val="Heading 4 Char"/>
    <w:basedOn w:val="DefaultParagraphFont"/>
    <w:link w:val="Heading4"/>
    <w:uiPriority w:val="99"/>
    <w:locked/>
    <w:rsid w:val="008779C8"/>
    <w:rPr>
      <w:rFonts w:ascii="Times New Roman" w:hAnsi="Times New Roman" w:cs="Times New Roman"/>
      <w:b/>
      <w:i/>
      <w:sz w:val="24"/>
    </w:rPr>
  </w:style>
  <w:style w:type="character" w:customStyle="1" w:styleId="Heading5Char">
    <w:name w:val="Heading 5 Char"/>
    <w:basedOn w:val="DefaultParagraphFont"/>
    <w:link w:val="Heading5"/>
    <w:uiPriority w:val="99"/>
    <w:locked/>
    <w:rsid w:val="008779C8"/>
    <w:rPr>
      <w:rFonts w:ascii="Arial" w:hAnsi="Arial" w:cs="Times New Roman"/>
      <w:sz w:val="22"/>
    </w:rPr>
  </w:style>
  <w:style w:type="character" w:customStyle="1" w:styleId="Heading6Char">
    <w:name w:val="Heading 6 Char"/>
    <w:basedOn w:val="DefaultParagraphFont"/>
    <w:link w:val="Heading6"/>
    <w:uiPriority w:val="99"/>
    <w:locked/>
    <w:rsid w:val="008779C8"/>
    <w:rPr>
      <w:rFonts w:ascii="Arial" w:hAnsi="Arial" w:cs="Times New Roman"/>
      <w:i/>
      <w:sz w:val="22"/>
    </w:rPr>
  </w:style>
  <w:style w:type="character" w:customStyle="1" w:styleId="Heading7Char">
    <w:name w:val="Heading 7 Char"/>
    <w:basedOn w:val="DefaultParagraphFont"/>
    <w:link w:val="Heading7"/>
    <w:uiPriority w:val="99"/>
    <w:locked/>
    <w:rsid w:val="008779C8"/>
    <w:rPr>
      <w:rFonts w:ascii="Arial" w:hAnsi="Arial" w:cs="Times New Roman"/>
      <w:sz w:val="24"/>
    </w:rPr>
  </w:style>
  <w:style w:type="character" w:customStyle="1" w:styleId="Heading8Char">
    <w:name w:val="Heading 8 Char"/>
    <w:basedOn w:val="DefaultParagraphFont"/>
    <w:link w:val="Heading8"/>
    <w:uiPriority w:val="99"/>
    <w:locked/>
    <w:rsid w:val="008779C8"/>
    <w:rPr>
      <w:rFonts w:ascii="Arial" w:hAnsi="Arial" w:cs="Times New Roman"/>
      <w:i/>
      <w:sz w:val="24"/>
    </w:rPr>
  </w:style>
  <w:style w:type="character" w:customStyle="1" w:styleId="Heading9Char">
    <w:name w:val="Heading 9 Char"/>
    <w:basedOn w:val="DefaultParagraphFont"/>
    <w:link w:val="Heading9"/>
    <w:uiPriority w:val="99"/>
    <w:locked/>
    <w:rsid w:val="008779C8"/>
    <w:rPr>
      <w:rFonts w:ascii="Arial" w:hAnsi="Arial" w:cs="Times New Roman"/>
      <w:i/>
      <w:sz w:val="18"/>
    </w:rPr>
  </w:style>
  <w:style w:type="character" w:styleId="PageNumber">
    <w:name w:val="page number"/>
    <w:basedOn w:val="DefaultParagraphFont"/>
    <w:uiPriority w:val="99"/>
    <w:semiHidden/>
    <w:rsid w:val="00E61643"/>
    <w:rPr>
      <w:rFonts w:cs="Times New Roman"/>
    </w:rPr>
  </w:style>
  <w:style w:type="paragraph" w:styleId="BodyText">
    <w:name w:val="Body Text"/>
    <w:basedOn w:val="Normal"/>
    <w:link w:val="BodyTextChar"/>
    <w:uiPriority w:val="99"/>
    <w:semiHidden/>
    <w:rsid w:val="00E61643"/>
    <w:rPr>
      <w:b/>
      <w:bCs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E61643"/>
    <w:rPr>
      <w:rFonts w:ascii="Times New Roman" w:hAnsi="Times New Roman" w:cs="Times New Roman"/>
      <w:b/>
      <w:bCs/>
      <w:sz w:val="24"/>
      <w:szCs w:val="24"/>
      <w:lang w:eastAsia="ar-SA" w:bidi="ar-SA"/>
    </w:rPr>
  </w:style>
  <w:style w:type="paragraph" w:styleId="Footer">
    <w:name w:val="footer"/>
    <w:basedOn w:val="Normal"/>
    <w:link w:val="FooterChar"/>
    <w:uiPriority w:val="99"/>
    <w:semiHidden/>
    <w:rsid w:val="00E61643"/>
    <w:pPr>
      <w:tabs>
        <w:tab w:val="center" w:pos="4252"/>
        <w:tab w:val="right" w:pos="8504"/>
      </w:tabs>
    </w:pPr>
  </w:style>
  <w:style w:type="character" w:customStyle="1" w:styleId="FooterChar">
    <w:name w:val="Footer Char"/>
    <w:basedOn w:val="DefaultParagraphFont"/>
    <w:link w:val="Footer"/>
    <w:uiPriority w:val="99"/>
    <w:semiHidden/>
    <w:locked/>
    <w:rsid w:val="00E61643"/>
    <w:rPr>
      <w:rFonts w:ascii="Times New Roman" w:hAnsi="Times New Roman" w:cs="Times New Roman"/>
      <w:sz w:val="24"/>
      <w:szCs w:val="24"/>
      <w:lang w:eastAsia="ar-SA" w:bidi="ar-SA"/>
    </w:rPr>
  </w:style>
  <w:style w:type="character" w:styleId="Strong">
    <w:name w:val="Strong"/>
    <w:basedOn w:val="DefaultParagraphFont"/>
    <w:uiPriority w:val="99"/>
    <w:qFormat/>
    <w:rsid w:val="008779C8"/>
    <w:rPr>
      <w:rFonts w:cs="Times New Roman"/>
      <w:b/>
      <w:bCs/>
    </w:rPr>
  </w:style>
  <w:style w:type="table" w:styleId="TableGrid">
    <w:name w:val="Table Grid"/>
    <w:basedOn w:val="TableNormal"/>
    <w:uiPriority w:val="99"/>
    <w:rsid w:val="00E61643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semiHidden/>
    <w:rsid w:val="00CC4F7B"/>
    <w:pPr>
      <w:tabs>
        <w:tab w:val="center" w:pos="4252"/>
        <w:tab w:val="right" w:pos="8504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locked/>
    <w:rsid w:val="00CC4F7B"/>
    <w:rPr>
      <w:rFonts w:ascii="Times New Roman" w:hAnsi="Times New Roman" w:cs="Times New Roman"/>
      <w:sz w:val="24"/>
      <w:szCs w:val="24"/>
      <w:lang w:eastAsia="ar-SA" w:bidi="ar-SA"/>
    </w:rPr>
  </w:style>
  <w:style w:type="paragraph" w:styleId="BalloonText">
    <w:name w:val="Balloon Text"/>
    <w:basedOn w:val="Normal"/>
    <w:link w:val="BalloonTextChar"/>
    <w:uiPriority w:val="99"/>
    <w:semiHidden/>
    <w:rsid w:val="00CC4F7B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CC4F7B"/>
    <w:rPr>
      <w:rFonts w:ascii="Tahoma" w:hAnsi="Tahoma" w:cs="Tahoma"/>
      <w:sz w:val="16"/>
      <w:szCs w:val="16"/>
      <w:lang w:eastAsia="ar-SA" w:bidi="ar-SA"/>
    </w:rPr>
  </w:style>
  <w:style w:type="character" w:styleId="Emphasis">
    <w:name w:val="Emphasis"/>
    <w:basedOn w:val="DefaultParagraphFont"/>
    <w:uiPriority w:val="99"/>
    <w:qFormat/>
    <w:rsid w:val="008779C8"/>
    <w:rPr>
      <w:rFonts w:cs="Times New Roman"/>
      <w:b/>
      <w:bCs/>
    </w:rPr>
  </w:style>
  <w:style w:type="paragraph" w:styleId="ListParagraph">
    <w:name w:val="List Paragraph"/>
    <w:basedOn w:val="Normal"/>
    <w:uiPriority w:val="99"/>
    <w:qFormat/>
    <w:rsid w:val="008779C8"/>
    <w:pPr>
      <w:ind w:left="720"/>
      <w:contextualSpacing/>
    </w:pPr>
  </w:style>
  <w:style w:type="paragraph" w:customStyle="1" w:styleId="acssjr">
    <w:name w:val="acssjr"/>
    <w:basedOn w:val="Normal"/>
    <w:uiPriority w:val="99"/>
    <w:rsid w:val="008779C8"/>
    <w:pPr>
      <w:spacing w:before="4536" w:after="2835"/>
      <w:jc w:val="center"/>
    </w:pPr>
    <w:rPr>
      <w:rFonts w:ascii="Bangkok" w:hAnsi="Bangkok"/>
      <w:b/>
      <w:i/>
      <w:sz w:val="72"/>
    </w:rPr>
  </w:style>
  <w:style w:type="paragraph" w:styleId="NormalWeb">
    <w:name w:val="Normal (Web)"/>
    <w:basedOn w:val="Normal"/>
    <w:uiPriority w:val="99"/>
    <w:rsid w:val="003003B4"/>
    <w:pPr>
      <w:overflowPunct/>
      <w:autoSpaceDE/>
      <w:autoSpaceDN/>
      <w:adjustRightInd/>
      <w:spacing w:before="100" w:beforeAutospacing="1" w:after="100" w:afterAutospacing="1"/>
      <w:textAlignment w:val="auto"/>
    </w:pPr>
    <w:rPr>
      <w:rFonts w:ascii="Times New Roman" w:hAnsi="Times New Roman"/>
      <w:szCs w:val="24"/>
    </w:rPr>
  </w:style>
  <w:style w:type="paragraph" w:customStyle="1" w:styleId="Default">
    <w:name w:val="Default"/>
    <w:uiPriority w:val="99"/>
    <w:rsid w:val="007C6723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styleId="Hyperlink">
    <w:name w:val="Hyperlink"/>
    <w:basedOn w:val="DefaultParagraphFont"/>
    <w:uiPriority w:val="99"/>
    <w:rsid w:val="00F35D97"/>
    <w:rPr>
      <w:rFonts w:cs="Times New Roman"/>
      <w:color w:val="0000FF"/>
      <w:u w:val="single"/>
    </w:rPr>
  </w:style>
  <w:style w:type="paragraph" w:styleId="TOCHeading">
    <w:name w:val="TOC Heading"/>
    <w:basedOn w:val="Heading1"/>
    <w:next w:val="Normal"/>
    <w:uiPriority w:val="99"/>
    <w:qFormat/>
    <w:rsid w:val="00A7310A"/>
    <w:pPr>
      <w:keepLines/>
      <w:numPr>
        <w:numId w:val="0"/>
      </w:numPr>
      <w:overflowPunct/>
      <w:autoSpaceDE/>
      <w:autoSpaceDN/>
      <w:adjustRightInd/>
      <w:spacing w:after="0" w:line="276" w:lineRule="auto"/>
      <w:textAlignment w:val="auto"/>
      <w:outlineLvl w:val="9"/>
    </w:pPr>
    <w:rPr>
      <w:rFonts w:ascii="Cambria" w:hAnsi="Cambria"/>
      <w:bCs/>
      <w:smallCaps w:val="0"/>
      <w:color w:val="365F91"/>
      <w:kern w:val="0"/>
      <w:sz w:val="28"/>
      <w:szCs w:val="28"/>
      <w:lang w:eastAsia="en-US"/>
    </w:rPr>
  </w:style>
  <w:style w:type="paragraph" w:styleId="TOC1">
    <w:name w:val="toc 1"/>
    <w:basedOn w:val="Normal"/>
    <w:next w:val="Normal"/>
    <w:autoRedefine/>
    <w:uiPriority w:val="99"/>
    <w:rsid w:val="00A7310A"/>
    <w:pPr>
      <w:spacing w:after="100"/>
    </w:pPr>
  </w:style>
  <w:style w:type="paragraph" w:styleId="TOC2">
    <w:name w:val="toc 2"/>
    <w:basedOn w:val="Normal"/>
    <w:next w:val="Normal"/>
    <w:autoRedefine/>
    <w:uiPriority w:val="99"/>
    <w:rsid w:val="00A7310A"/>
    <w:pPr>
      <w:spacing w:after="100"/>
      <w:ind w:left="240"/>
    </w:pPr>
  </w:style>
  <w:style w:type="paragraph" w:styleId="FootnoteText">
    <w:name w:val="footnote text"/>
    <w:basedOn w:val="Normal"/>
    <w:link w:val="FootnoteTextChar"/>
    <w:uiPriority w:val="99"/>
    <w:semiHidden/>
    <w:rsid w:val="0073445C"/>
    <w:rPr>
      <w:sz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73445C"/>
    <w:rPr>
      <w:rFonts w:ascii="Arial" w:hAnsi="Arial" w:cs="Times New Roman"/>
    </w:rPr>
  </w:style>
  <w:style w:type="character" w:styleId="FootnoteReference">
    <w:name w:val="footnote reference"/>
    <w:basedOn w:val="DefaultParagraphFont"/>
    <w:uiPriority w:val="99"/>
    <w:semiHidden/>
    <w:rsid w:val="0073445C"/>
    <w:rPr>
      <w:rFonts w:cs="Times New Roman"/>
      <w:vertAlign w:val="superscript"/>
    </w:rPr>
  </w:style>
  <w:style w:type="character" w:customStyle="1" w:styleId="apple-converted-space">
    <w:name w:val="apple-converted-space"/>
    <w:basedOn w:val="DefaultParagraphFont"/>
    <w:uiPriority w:val="99"/>
    <w:rsid w:val="002F64AF"/>
    <w:rPr>
      <w:rFonts w:cs="Times New Roman"/>
    </w:rPr>
  </w:style>
  <w:style w:type="character" w:styleId="FollowedHyperlink">
    <w:name w:val="FollowedHyperlink"/>
    <w:basedOn w:val="DefaultParagraphFont"/>
    <w:uiPriority w:val="99"/>
    <w:semiHidden/>
    <w:rsid w:val="006C6309"/>
    <w:rPr>
      <w:rFonts w:cs="Times New Roman"/>
      <w:color w:val="800080"/>
      <w:u w:val="single"/>
    </w:rPr>
  </w:style>
  <w:style w:type="paragraph" w:styleId="HTMLPreformatted">
    <w:name w:val="HTML Preformatted"/>
    <w:basedOn w:val="Normal"/>
    <w:link w:val="HTMLPreformattedChar"/>
    <w:uiPriority w:val="99"/>
    <w:semiHidden/>
    <w:rsid w:val="001019F7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overflowPunct/>
      <w:autoSpaceDE/>
      <w:autoSpaceDN/>
      <w:adjustRightInd/>
      <w:textAlignment w:val="auto"/>
    </w:pPr>
    <w:rPr>
      <w:rFonts w:ascii="Courier" w:hAnsi="Courier" w:cs="Courier"/>
      <w:sz w:val="20"/>
      <w:lang w:eastAsia="en-US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semiHidden/>
    <w:locked/>
    <w:rsid w:val="001019F7"/>
    <w:rPr>
      <w:rFonts w:ascii="Courier" w:hAnsi="Courier" w:cs="Courier"/>
      <w:sz w:val="20"/>
      <w:szCs w:val="20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86847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8477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8477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8477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8477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6847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68477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868477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868477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8684770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8684771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8684770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8684770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8684771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7868477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7868477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8477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68477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68477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68477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868477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8477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8477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doNotSaveAsSingleFile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2.inca.gov.br/wps/wcm/connect/tiposdecancer/site/home/pulmao/definicao" TargetMode="External"/><Relationship Id="rId13" Type="http://schemas.openxmlformats.org/officeDocument/2006/relationships/hyperlink" Target="http://www.ncbi.nlm.nih.gov/pubmed?term=Mok%20T%5BAuthor%5D&amp;cauthor=true&amp;cauthor_uid=19027483" TargetMode="External"/><Relationship Id="rId1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hyperlink" Target="http://www.ncbi.nlm.nih.gov/pubmed?term=Hirsh%20V%5BAuthor%5D&amp;cauthor=true&amp;cauthor_uid=19027483" TargetMode="External"/><Relationship Id="rId17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footer" Target="footer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://www.ncbi.nlm.nih.gov/pubmed?term=Kim%20ES%5BAuthor%5D&amp;cauthor=true&amp;cauthor_uid=19027483" TargetMode="External"/><Relationship Id="rId5" Type="http://schemas.openxmlformats.org/officeDocument/2006/relationships/footnotes" Target="footnotes.xml"/><Relationship Id="rId15" Type="http://schemas.openxmlformats.org/officeDocument/2006/relationships/image" Target="media/image2.png"/><Relationship Id="rId10" Type="http://schemas.openxmlformats.org/officeDocument/2006/relationships/hyperlink" Target="http://www.cadth.ca/media/cdr/complete/cdr_complete_iressa_06-23-04.pdf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www.nice.org.uk/nicemedia/live/12185/48834/48834.pdf" TargetMode="External"/><Relationship Id="rId14" Type="http://schemas.openxmlformats.org/officeDocument/2006/relationships/hyperlink" Target="http://www.ncbi.nlm.nih.gov/pubmed/19027483" TargetMode="External"/></Relationships>
</file>

<file path=word/_rels/footnotes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ogle.com.br/url?sa=t&amp;rct=j&amp;q=&amp;esrc=s&amp;source=web&amp;cd=1&amp;sqi=2&amp;ved=0CC8QFjAA&amp;url=http%3A%2F%2Fwww.4bio.com.br%2Fdownload%2Fpdf%2F172%2F172-iressa.pdf%2F&amp;ei=aUazUJKuJYei8gTj84C4Cg&amp;usg=AFQjCNFzgbf4PValyi_JHBoQUVX2qaJskw&amp;sig2=qqI3roHVLpDuVVcxB_ZV_A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9</TotalTime>
  <Pages>12</Pages>
  <Words>2671</Words>
  <Characters>14425</Characters>
  <Application>Microsoft Office Outlook</Application>
  <DocSecurity>0</DocSecurity>
  <Lines>0</Lines>
  <Paragraphs>0</Paragraphs>
  <ScaleCrop>false</ScaleCrop>
  <Company>Microsoft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gloria</dc:creator>
  <cp:keywords/>
  <dc:description/>
  <cp:lastModifiedBy>*</cp:lastModifiedBy>
  <cp:revision>3</cp:revision>
  <cp:lastPrinted>2012-10-17T21:38:00Z</cp:lastPrinted>
  <dcterms:created xsi:type="dcterms:W3CDTF">2013-11-10T13:59:00Z</dcterms:created>
  <dcterms:modified xsi:type="dcterms:W3CDTF">2013-11-10T14:00:00Z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endeley Document_1">
    <vt:lpwstr>True</vt:lpwstr>
  </property>
  <property fmtid="{D5CDD505-2E9C-101B-9397-08002B2CF9AE}" pid="3" name="Mendeley User Name_1">
    <vt:lpwstr>acssjunior@hotmail.com@www.mendeley.com</vt:lpwstr>
  </property>
  <property fmtid="{D5CDD505-2E9C-101B-9397-08002B2CF9AE}" pid="4" name="Mendeley Citation Style_1">
    <vt:lpwstr>http://www.zotero.org/styles/vancouver</vt:lpwstr>
  </property>
  <property fmtid="{D5CDD505-2E9C-101B-9397-08002B2CF9AE}" pid="5" name="Mendeley Recent Style Id 0_1">
    <vt:lpwstr>http://www.zotero.org/styles/vancouver</vt:lpwstr>
  </property>
  <property fmtid="{D5CDD505-2E9C-101B-9397-08002B2CF9AE}" pid="6" name="Mendeley Recent Style Name 0_1">
    <vt:lpwstr>Vancouver</vt:lpwstr>
  </property>
  <property fmtid="{D5CDD505-2E9C-101B-9397-08002B2CF9AE}" pid="7" name="Mendeley Recent Style Id 1_1">
    <vt:lpwstr>http://www.zotero.org/styles/mla</vt:lpwstr>
  </property>
  <property fmtid="{D5CDD505-2E9C-101B-9397-08002B2CF9AE}" pid="8" name="Mendeley Recent Style Name 1_1">
    <vt:lpwstr>Modern Language Association</vt:lpwstr>
  </property>
  <property fmtid="{D5CDD505-2E9C-101B-9397-08002B2CF9AE}" pid="9" name="Mendeley Recent Style Id 2_1">
    <vt:lpwstr>http://www.zotero.org/styles/mhra</vt:lpwstr>
  </property>
  <property fmtid="{D5CDD505-2E9C-101B-9397-08002B2CF9AE}" pid="10" name="Mendeley Recent Style Name 2_1">
    <vt:lpwstr>Modern Humanities Research Association (note with bibliography)</vt:lpwstr>
  </property>
  <property fmtid="{D5CDD505-2E9C-101B-9397-08002B2CF9AE}" pid="11" name="Mendeley Recent Style Id 3_1">
    <vt:lpwstr>http://www.zotero.org/styles/harvard1</vt:lpwstr>
  </property>
  <property fmtid="{D5CDD505-2E9C-101B-9397-08002B2CF9AE}" pid="12" name="Mendeley Recent Style Name 3_1">
    <vt:lpwstr>Harvard Reference format 1 (author-date)</vt:lpwstr>
  </property>
  <property fmtid="{D5CDD505-2E9C-101B-9397-08002B2CF9AE}" pid="13" name="Mendeley Recent Style Id 4_1">
    <vt:lpwstr>http://www.zotero.org/styles/ieee</vt:lpwstr>
  </property>
  <property fmtid="{D5CDD505-2E9C-101B-9397-08002B2CF9AE}" pid="14" name="Mendeley Recent Style Name 4_1">
    <vt:lpwstr>IEEE</vt:lpwstr>
  </property>
  <property fmtid="{D5CDD505-2E9C-101B-9397-08002B2CF9AE}" pid="15" name="Mendeley Recent Style Id 5_1">
    <vt:lpwstr>http://www.zotero.org/styles/chicago-author-date</vt:lpwstr>
  </property>
  <property fmtid="{D5CDD505-2E9C-101B-9397-08002B2CF9AE}" pid="16" name="Mendeley Recent Style Name 5_1">
    <vt:lpwstr>Chicago Manual of Style (author-date)</vt:lpwstr>
  </property>
  <property fmtid="{D5CDD505-2E9C-101B-9397-08002B2CF9AE}" pid="17" name="Mendeley Recent Style Id 6_1">
    <vt:lpwstr>http://www.zotero.org/styles/asa</vt:lpwstr>
  </property>
  <property fmtid="{D5CDD505-2E9C-101B-9397-08002B2CF9AE}" pid="18" name="Mendeley Recent Style Name 6_1">
    <vt:lpwstr>American Sociological Association</vt:lpwstr>
  </property>
  <property fmtid="{D5CDD505-2E9C-101B-9397-08002B2CF9AE}" pid="19" name="Mendeley Recent Style Id 7_1">
    <vt:lpwstr>http://www.zotero.org/styles/apsa</vt:lpwstr>
  </property>
  <property fmtid="{D5CDD505-2E9C-101B-9397-08002B2CF9AE}" pid="20" name="Mendeley Recent Style Name 7_1">
    <vt:lpwstr>American Political Science Association</vt:lpwstr>
  </property>
  <property fmtid="{D5CDD505-2E9C-101B-9397-08002B2CF9AE}" pid="21" name="Mendeley Recent Style Id 8_1">
    <vt:lpwstr>http://www.zotero.org/styles/ama</vt:lpwstr>
  </property>
  <property fmtid="{D5CDD505-2E9C-101B-9397-08002B2CF9AE}" pid="22" name="Mendeley Recent Style Name 8_1">
    <vt:lpwstr>American Medical Association</vt:lpwstr>
  </property>
  <property fmtid="{D5CDD505-2E9C-101B-9397-08002B2CF9AE}" pid="23" name="Mendeley Recent Style Id 9_1">
    <vt:lpwstr>http://www.zotero.org/styles/apa</vt:lpwstr>
  </property>
  <property fmtid="{D5CDD505-2E9C-101B-9397-08002B2CF9AE}" pid="24" name="Mendeley Recent Style Name 9_1">
    <vt:lpwstr>American Psychological Association 6th Edition</vt:lpwstr>
  </property>
</Properties>
</file>